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67 vom 1. Mai 2017</w:t>
      </w:r>
    </w:p>
    <w:p>
      <w:r>
        <w:t>FR Kantonsgericht, 2017-05-01, DE</w:t>
      </w:r>
    </w:p>
    <w:p>
      <w:r>
        <w:rPr>
          <w:b/>
        </w:rPr>
        <w:t xml:space="preserve">Quelle: </w:t>
      </w:r>
      <w:r>
        <w:t>https://mcp.opencaselaw.ch/entscheid/fr_gerichte_603_2017_67</w:t>
      </w:r>
    </w:p>
    <w:p>
      <w:r>
        <w:t>FR: FR_GERICHTE 603 2017 67 du 1 mai 2017</w:t>
      </w:r>
    </w:p>
    <w:p>
      <w:r>
        <w:t>IT: FR_GERICHTE 603 2017 67 del 1 maggio 2017</w:t>
      </w:r>
    </w:p>
    <w:p>
      <w:pPr>
        <w:pStyle w:val="Heading2"/>
      </w:pPr>
      <w:r>
        <w:t>Regeste</w:t>
      </w:r>
    </w:p>
    <w:p>
      <w:r>
        <w:t>Entscheid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und Art. 22 SVG; vgl. zur örtlichen Zuständigkeit bei einem Wohnsitzwechsels des Fahrzeugführers während des Admi- nistrativverfahrens BGE 108 Ib 139). Der Beschwerdeführer ist zur Ergreifung des Rechtsmittels gegen den vorliegenden Zwischenentscheid legitimiert (Art. 76 bzw. 120 VRG). Die Beschwerde-</w:t>
      </w:r>
    </w:p>
    <w:p>
      <w:r>
        <w:t>Kantonsgericht KG Seite 4 von 7 frist wurde eingehalten (Art. 79 Abs. 2 VRG). Auch wurde der Kostenvorschuss rechtzeitig bezahlt (Art. 128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Nach Art. 14 SVG müssen Motorfahrzeugführer über Fahreignung und Fahrkompetenz verfügen (Abs. 1). Über Fahreignung verfügt, wer unter anderem die erforderliche körperliche und psychische Leistungsfähigkeit zum sicheren Führen von Motorfahrzeugen hat, frei von einer Sucht ist, die das sichere Führen von Motorfahrzeugen beeinträchtigt und nach seinem bisherigen Ver- halten Gewähr bietet, als Motorfahrzeugführer die Vorschriften zu beachten und auf die Mitmen- schen Rücksicht zu nehmen (Abs. 2 lit. b, c, d). Über Fahrkompetenz verfügt, wer die Verkehrsre- geln kennt und Fahrzeuge der Kategorie, für die der Ausweis gilt, sicher führen kann (Abs. 3 lit. a, b). Wer wegen Alkohol-, Betäubungsmittel- oder Arzneimitteleinfluss oder aus anderen Gründen nicht über die erforderliche körperliche oder geistige Leistungsfähigkeit verfügt, gilt während dieser Zeit als fahrunfähig und darf kein Fahrzeug führen (Art. 31 Abs. 2 SVG; Art. 2 Abs. 1 der Verkehrs- regelnverordnung vom 13. November 1962 [VRV; SR 741.11]). Fahrunfähigkeit gilt als erwiesen, wenn im Blut des Fahrzeuglenkers ein in Art. 2 Abs. 2 VRV aufgezähltes Betäubungsmittel nach- gewiesen wird. b) Der Führerausweis ist zu entziehen, wenn festgestellt wird, dass die gesetzlichen Voraussetzungen zur Erteilung nicht oder nicht mehr bestehen (Art. 16 Abs. 1 SVG). Wegen feh- lender Fahreignung wird einer Person der Führerausweis auf unbestimmte Zeit entzogen, wenn sie an einer Sucht leidet, welche die Fahreignung ausschliesst (Art. 16d Abs. 1 lit. b SVG), oder wenn sie aufgrund ihres bisherigen Verhaltens nicht Gewähr bietet, dass sie künftig beim Führen eines Motorfahrzeuges die Vorschriften beachten und auf Mitmenschen Rücksicht nehmen wird (Art. 16d Abs. 1 lit. c SVG).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 gende Gefahr besteht, dass sie im akuten Rauschzustand am motorisierten Strassenverkehr teil- nimmt. Ein regelmässiger, aber kontrollierter und mässiger Cannabiskonsum erlaubt für sich allein noch nicht den Schluss auf eine fehlende Fahreignung. Von Bedeutung sind die Konsumgewohn- heiten der Person, ihre Vorgeschichte, ihr bisheriges Verhalten im Strassenverkehr und ihre Per- sönlichkeit (BGE 128 II 335 E. 4a; Urteile BGer 1C_445/2012 und 1C_446/2012 vom 26. April 2013 E. 3.1). c) Bestehen Zweifel an der Fahreignung einer Person, so wird diese einer Fahreignungs- untersuchung unterzogen (Art. 15d Abs. 1 SVG). Das ist namentlich der Fall bei Fahren unter dem Einfluss von Betäubungsmitteln oder bei Mitführen von Betäubungsmitteln, welche die Fahrfähig- keit stark beeinträchtigen oder ein hohes Abhängigkeitspotenzial aufweisen (Art. 15d Abs. 1 lit. b SVG). Bei Verdacht auf eine Alkohol- oder Betäubungsmittelabhängigkeit darf nach der bundesge- richtlichen Rechtsprechung eine verkehrsmedizinische Abklärung angeordnet werden, sofern kon- krete Anhaltspunkte vorliegen, die ernsthafte Zweifel an der Fahreignung des Betroffenen wecken. Hingegen wird für die Anordnung einer verkehrsmedizinischen Untersuchung nicht zwingend vo- rausgesetzt, dass die betroffene Person unter dem Einfluss von Betäubungsmitteln gefahren ist</w:t>
      </w:r>
    </w:p>
    <w:p>
      <w:r>
        <w:t>Kantonsgericht KG Seite 5 von 7 oder Betäubungsmittel im Fahrzeug mitgeführt hat (Urteile BGer 1C_445/2012 und 1C_446/2012 vom 26. April 2013 E. 3.1).</w:t>
      </w:r>
    </w:p>
    <w:p>
      <w:r>
        <w:rPr>
          <w:b/>
        </w:rPr>
        <w:t>E. 4</w:t>
      </w:r>
    </w:p>
    <w:p>
      <w:r>
        <w:t>Nachfolgend ist aufgrund der Beschwerde streitig und zu prüfen, ob die Vorinstanz mit der angefochtenen Verfügung dem Beschwerdeführer zu Recht den Führerausweis vorsorglich auf unbestimmte Zeit, bis zur Abklärung der Ausschlussgründe, entzogen hat, und ihn aufforderte, ein Fahreignungsgutachten (durch einen Arzt mit dem Titel "Verkehrsmediziner SGRM" oder einem von der SGRM als gleichwertig anerkannten Titel) einzureichen, welches seine Drogenkonsum- Gewohnheiten und das mögliche Vorliegen einer chronischen oder periodischen Drogensucht und/oder anderer die Fahreignung beeinträchtigender Faktoren beantwortet. a) Der Beschwerdeführer trägt in seiner Beschwerde im Wesentlichen vor, dass bei seinem Betäubungsmittelkonsum zwar eine gewisse Regelmässigkeit vorliege. Aus diesem Konsum könne aber keine Verbindung mit dem Autofahren abgeleitet werden. Er könne aus beruflichen Gründen nicht jeden Tag konsumieren. Er sei verantwortungsbewusst und wolle seine Arbeit nicht unter seinem Konsum leiden lassen. Dasselbe gelte auch für das Autofahren. Die Vorinstanz habe den Freispruch im Strafurteil nicht respektiert. In casu habe lediglich der zugestandene Marihuana- Konsum zu einer Busse geführt. Auch habe die Vorinstanz in der angefochtenen Verfügung zu Unrecht den Führerausweisentzug aus dem Jahr 2011 mitberücksichtigt. Er könne den gelegentli- chen Marihuana-Konsum und das Führen eines Motorfahrzeuges trennen. b) Vorliegend ist der Beschwerdeführer zwar nicht nachweislich unter dem Einfluss von Betäubungsmitteln gefahren. Anlässlich der Hausdurchsuchung vom 31. März 2016 wurden bei ihm gemäss dem entsprechenden polizeilichen Protokoll namentlich Hanfpflanzen, Marihuanareste und diverses Material für den Betrieb einer Hanfanlage (unter anderem eine Canna-Box, Bewässe- rungssystem und Dünger, Belüftungssystem mit Lampe und Transformatoren, 36 Töpfe) be- schlagnahmt. Am 18. November 2016 hat ihn der Polizeirichter vom Vorwurf, dass er Hanf ange- baut habe, um diesen an Dritte weiterzuverkaufen, freigesprochen; dies im Wesentlichen deshalb, weil der Anklage nicht zu entnehmen war, um welche Menge es sich handle und an wen der Hanf verkauft wurde. Hingegen wurde er gestützt auf sein Geständnis wegen Eigenkonsums zu einer Busse verurteilt. Anlässlich der polizeilichen Einvernahme hat der Beschwerdeführer auf die Frage, seit wann er Marihuana konsumiere, angegeben, dass er diese Frage nicht beantworten möchte und von seinem Recht auf Verweigerung der Aussage Gebrauch gemacht. An der Sitzung vom 16. November 2016 vor dem Polizeirichter brachte er namentlich vor, dass er drei Hanfpflanzen grossgezogen habe und den Hanf für sich selber brauchte. Er konsumiere regelmässig Hanf, seit er 17 Jahre alt sei. Er konsumiere eher unregelmässig, aber es könne einmal in der Woche sein. Aus beruflichen Gründen könne er nicht jeden Tag konsumieren. Damit sind die genauen Konsumgewohnheiten des Beschwerdeführers zwar nicht geklärt, ebenso wie die Frage, ob bei ihm – wie die Polizei protokolliert hatte – 15 Hanfpflanzen beschlagnahmt wurden oder wie von ihm vorgebracht lediglich deren drei. Selbst wenn indes der Beschwerdeführer lediglich drei Hanfpflanzen zum Eigenkonsum kultivierte, kann daraus für den Eigengebrauch eine ansehnliche Menge Marihuana gewonnen werden (vgl. zum ungefähren Ertrag, der zu erwarten ist, die Hinweise im Urteil BStGer SK.2010.33 vom 5. Mai 2011 E. 2.4); der entsprechende Konsum vermag nach Ansicht des Kantonsgerichts ernsthafte Zweifel an der Fahreignung zu wecken. Auch ist zu beachten, dass vorsorgliche Entzüge des Führerausweises bzw. Sicherungsentzüge der Gewährleistung der Verkehrssicherheit dienen, so dass in den betreffenden Verfahren die Unschuldsvermutung nicht gilt (vgl. BGE 140 II 334 E. 6). Aus dem teilweisen Freispruch im Strafverfahren – der sich im Übrigen auf den Vorwurf des Handels bezog – ergibt sich demnach nicht, dass auf den vorsorglichen Entzug des Führerausweises bzw. die Anordnung der</w:t>
      </w:r>
    </w:p>
    <w:p>
      <w:r>
        <w:t>Kantonsgericht KG Seite 6 von 7 Massnahmen zum Nachweis der Fahreignung zu verzichten wäre, zumal der Beschwerdeführer ja des Konsums von Betäubungsmitteln gerade schuldig gesprochen wurde. Zudem hat die Vorinstanz – entgegen der Argumentation des Beschwerdeführers in seiner Beschwerde – vorliegend auch zu Recht berücksichtigt, dass ihm bereits im Jahr 2011 wegen zweimaligen Fahrens in nicht fahrfähigem Zustand sowie Verweigerung der Blut- und Urinprobe der Führerausweis für 6 Monate entzogen worden war. Mit Strafbefehl der Staatsanwaltschaft vom</w:t>
      </w:r>
    </w:p>
    <w:p>
      <w:r>
        <w:rPr>
          <w:b/>
        </w:rPr>
        <w:t>E. 7</w:t>
      </w:r>
    </w:p>
    <w:p>
      <w:r>
        <w:t>Mit dem sofortigen Entscheid in der Sache wird das Gesuch des Beschwerdeführers um Wiederherstellung der aufschiebenden Wirkung gegenstandslos (603 2017 73).</w:t>
      </w:r>
    </w:p>
    <w:p>
      <w:r>
        <w:rPr>
          <w:b/>
        </w:rPr>
        <w:t>E. 8</w:t>
      </w:r>
    </w:p>
    <w:p>
      <w:r>
        <w:t>Die Kosten, die auf CHF 600.- festgelegt und mit dem geleisteten Kostenvorschuss verrech- net werden, sind dem Verfahrensausgang entsprechend dem Beschwerdeführer aufzuerlegen (Art. 131 Abs. 1 VRG; Art. 1 und 2 des kantonalen Tarifs vom 17. Dezember 1991 der Verfahrens- kosten und Entschädigungen in der Verwaltungsjustiz [TarifVJ; SGF 150.12]). Eine Parteientschädigung ist nicht geschuldet (Art. 137 Abs. 1 VRG). Der Hof erkennt: I. Die Beschwerde wird abgewiesen (603 2017 67). II. Das Gesuch um Wiederherstellung der aufschiebenden Wirkung wird als gegenstandslos abgeschrieben (603 2017 73). III. Die Gerichtskosten von CHF 600.- werden dem Beschwerdeführer auferlegt und mit dem geleisteten Kostenvorschuss verrechnet. IV. Eine Parteientschädigung wird nicht ausgerichtet. V. Zustellung. Gegen diesen Entscheid kann innert 30 Tagen ab Zustellung Beschwerde beim Bundesgericht eingereicht werden. Gegen die Festsetzung der Höhe der Verfahrenskosten und der Partei- entschädigung ist innert 30 Tagen die Einsprache an die Behörde, die entschieden hat, zulässig, sofern nur dieser Teil des Entscheides angefochten wird (Art. 148 VRG). Freiburg, 1. Mai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