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179 vom 27. Juli 2018</w:t>
      </w:r>
    </w:p>
    <w:p>
      <w:r>
        <w:t>FR Kantonsgericht, 2018-07-27, FR</w:t>
      </w:r>
    </w:p>
    <w:p>
      <w:r>
        <w:rPr>
          <w:b/>
        </w:rPr>
        <w:t xml:space="preserve">Quelle: </w:t>
      </w:r>
      <w:r>
        <w:t>https://mcp.opencaselaw.ch/entscheid/fr_gerichte_603_2017_179</w:t>
      </w:r>
    </w:p>
    <w:p>
      <w:r>
        <w:t>FR: FR_GERICHTE 603 2017 179 du 27 juillet 2018</w:t>
      </w:r>
    </w:p>
    <w:p>
      <w:r>
        <w:t>IT: FR_GERICHTE 603 2017 179 del 27 luglio 2018</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 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w:t>
      </w:r>
    </w:p>
    <w:p>
      <w:r>
        <w:rPr>
          <w:b/>
        </w:rPr>
        <w:t>E. 2.2</w:t>
      </w:r>
    </w:p>
    <w:p>
      <w:r>
        <w:t>En l'espèce, le recourant conteste les faits qui lui sont reprochés et maintient que c'est son épouse qui a conduit ce soir-là. Cependant, dans la mesure où il a été condamné pénalement pour conduite en état d'ivresse et qu'il n'a pas fait opposition à l'ordonnance, il ne se saurait remettre en cause, dans le cadre de la procédure administrative, les faits retenus sur le plan pénal. Ceux-ci</w:t>
      </w:r>
    </w:p>
    <w:p>
      <w:r>
        <w:t>Tribunal cantonal TC Page 4 de 6 doivent dès lors être considérés comme établis. Partant, il y a lieu de retenir que l'intéressé a conduit en état d'ivresse, avec un taux d'alcoolémie qualifié de 0,59 mg/L (= 1,18 g 0/00). Ces faits imposaient le prononcé d'une mesure administrative.</w:t>
      </w:r>
    </w:p>
    <w:p>
      <w:r>
        <w:rPr>
          <w:b/>
        </w:rPr>
        <w:t>E. 3.1</w:t>
      </w:r>
    </w:p>
    <w:p>
      <w:r>
        <w:t>Selon l'art. 16c al. 1 let. b de la loi du 19 décembre 1958 sur la circulation routière (LCR; RS 741.01), commet une infraction grave la personne qui conduit un véhicule automobile en état d'ébriété et présente un taux d'alcool qualifié dans l'haleine ou dans le sang. L'art. 55 al. 6 LCR prescrit que l'Assemblée fédérale fixe dans une ordonnance le taux d'alcool dans l'haleine et le taux d'alcool dans le sang à partir desquels les conducteurs sont réputés être dans l'incapacité de conduire au sens de la LCR (état d'ébriété) indépendamment de toute autre preuve et du degré de tolérance individuelle à l'alcool (let. a) ainsi que le taux qualifié d'alcool dans l'haleine et dans le sang (let. b). En vertu de l'art. 2 de l'ordonnance du 15 juin 2012 de l'Assemblée fédérale concernant les taux limites d'alcool admis en matière de circulation routière (RS 741.13), sont considérés comme qualifiés: "a. un taux d'alcool dans le sang de 0,8 gramme pour mille ou plus; b. un taux d'alcool dans l'haleine de 0,4 milligramme ou plus par litre d'air expiré."</w:t>
      </w:r>
    </w:p>
    <w:p>
      <w:r>
        <w:rPr>
          <w:b/>
        </w:rPr>
        <w:t>E. 3.2</w:t>
      </w:r>
    </w:p>
    <w:p>
      <w:r>
        <w:t>Ainsi la conduite en état d'ébriété avec un taux qualifié – en l'espèce de 0,59 mg/L mesuré dans l'haleine – est, sous l'aspect des mesures administratives, constitutive d'une faute grave. On notera dans ce contexte que l'art. 16c al. 1 let. b LCR, l'art. 55 al. 6 LCR et l'ordonnance parlementaire précitée ne prévoient pas d'exception à la qualification de faute grave, notamment pas au regard de la mise en danger et des éventuelles fautes de circulation, ou encore du degré de tolérance. Dans ces conditions, c'est à juste titre que l'autorité intimée a qualifié la faute commise de grave. Au vu du texte légal sans équivoque, la CMA se devait d'appliquer l'art. 16c al. 1 let. b LCR et, partant, de prononcer le retrait du permis de conduire du recourant.</w:t>
      </w:r>
    </w:p>
    <w:p>
      <w:r>
        <w:rPr>
          <w:b/>
        </w:rPr>
        <w:t>E. 4.1</w:t>
      </w:r>
    </w:p>
    <w:p>
      <w:r>
        <w:t>Selon l'art. 16c al. 2 let. c LCR, après une infraction grave, le permis d'élève conducteur ou le permis de conduire est retiré pour douze mois au moins si, au cours des cinq années précédentes, le permis a été retiré une fois en raison d'une infraction grave ou à deux reprises en raison d'infractions moyennement graves.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w:t>
      </w:r>
    </w:p>
    <w:p>
      <w:r>
        <w:t>Tribunal cantonal TC Page 5 de 6 circonstances particulières (Message du Conseil fédéral concernant la modification de la loi fédérale sur la circulation routière du 31 mars 1999, FF 1999 IV 4131; ATF 132 II 234 consid. 2.3).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Délivrance et retrait du permis de conduire, 1982, p. 190 et la jurisprudence citée).</w:t>
      </w:r>
    </w:p>
    <w:p>
      <w:r>
        <w:rPr>
          <w:b/>
        </w:rPr>
        <w:t>E. 4.2</w:t>
      </w:r>
    </w:p>
    <w:p>
      <w:r>
        <w:t>En l'occurrence, le recourant a déjà fait l'objet d'un précédent retrait du permis de conduire pour faute grave, prononcé le 1er juin 2015, de sorte que le nouveau retrait devait être ordonné pour la durée minimale de douze mois, en application de l'art. 16c al. 2 let. c LCR. En fixant à treize mois la durée du retrait, la CMA ne s'est écartée que d'un mois de la durée minimale légale prévue par l'art. 16c al. 2 let. c LCR. Son appréciation - clémente - échappe à la critique. En effet, on ne saurait perdre de vue que le précédent retrait de 2015 avait déjà été ordonné pour cause d'ivresse au volant, le taux d'alcoolémie alors révélé atteignant les 1,99 g/00. En raison de cette infraction, le recourant a fait l'objet d'un retrait de sécurité du permis de conduire, pour une durée indéterminée, mais de trois mois au moins. La restitution de son permis, soumise à conditions, a été prononcée le 13 janvier 2016 et le suivi post-restitution achevé le 6 avril 2017. Or, seulement trois mois plus tard, le recourant a à nouveau fait l'objet d'une dénonciation policière pour avoir circulé avec un taux d'alcoolémie important (0,59 mg/L = 1,18 g 0/00). A l'évidence, la répétition d'une infraction grave de même nature sur une si courte période justifiait pleinement de se distancier du minimum légal de la durée du retrait.</w:t>
      </w:r>
    </w:p>
    <w:p>
      <w:r>
        <w:rPr>
          <w:b/>
        </w:rPr>
        <w:t>E. 5</w:t>
      </w:r>
    </w:p>
    <w:p>
      <w:r>
        <w:t>Pour l'ensemble des motifs qui précèdent, force est de constater que la CMA n'a pas violé la loi, ni commis un quelconque excès ou abus de son pouvoir d'appréciation en qualifiant de grave l'infraction commise par le recourant et en la sanctionnant par un retrait du permis de conduire pour la durée de treize mois. Partant, sa décision doit être confirmée et le recours rejeté.</w:t>
      </w:r>
    </w:p>
    <w:p>
      <w:r>
        <w:rPr>
          <w:b/>
        </w:rPr>
        <w:t>E. 6</w:t>
      </w:r>
    </w:p>
    <w:p>
      <w:r>
        <w:t>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w:t>
      </w:r>
    </w:p>
    <w:p>
      <w:r>
        <w:t>Tribunal cantonal TC Page 6 de 6 la Cour arrête: I. Le recours est rejeté. Partant, la décision du 28 septembre 2017 est confirmée. II. Les frais de procédure, par CHF 600.-, sont mis à la charge du recourant. Ils sont compensés par l'avance de frais qu'il a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et contestée (art. 148 CPJA). Fribourg, le 27 juillet 2018/mju/lra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