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164 vom 23. Februar 2018</w:t>
      </w:r>
    </w:p>
    <w:p>
      <w:r>
        <w:t>FR Kantonsgericht, 2018-02-23, FR</w:t>
      </w:r>
    </w:p>
    <w:p>
      <w:r>
        <w:rPr>
          <w:b/>
        </w:rPr>
        <w:t xml:space="preserve">Quelle: </w:t>
      </w:r>
      <w:r>
        <w:t>https://mcp.opencaselaw.ch/entscheid/fr_gerichte_603_2017_164</w:t>
      </w:r>
    </w:p>
    <w:p>
      <w:r>
        <w:t>FR: FR_GERICHTE 603 2017 164 du 23 février 2018</w:t>
      </w:r>
    </w:p>
    <w:p>
      <w:r>
        <w:t>IT: FR_GERICHTE 603 2017 164 del 23 febbraio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a) Déposé dans le délai et les formes prescrits, le présent recours est recevable en vertu des art. 12 de la loi fribourgeoise du 12 novembre 1981 d’application de la législation fédérale sur la circulation routière (LALCR; RSF 781.1) et 79 à 81 du code du 23 mai 1991 de procédure et de juridiction administrative (CPJA; RSF 150.1). Le Tribunal cantonal peut donc entrer en matière sur les mérites de son pourvoi.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Dans un premier moyen, le recourant indique que la procédure administrative devrait être suspendue jusqu'à droit connu sur la procédure pénale afin d'éviter le risque que ne soient prises des décisions contradictoires. Sur le principe, il y a lieu de lui donner raison. Cela étant, dès lors que le Ministère public a rendu une ordonnance pénale à l'encontre du recourant le 17 octobre 2017 s'agissant des faits litigieux, certes postérieurement à la décision attaquée, mais que cette dernière, non contestée, est désormais entrée en force, ce premier moyen est devenu sans objet.</w:t>
      </w:r>
    </w:p>
    <w:p>
      <w:r>
        <w:rPr>
          <w:b/>
        </w:rPr>
        <w:t>E. 3</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Ce n'est que si la qualification juridique d'une situation dépend essentiellement de l'appréciation de l'état de fait, qu'en principe le juge pénal est mieux à même de connaître que l'autorité administrative, que celle-</w:t>
      </w:r>
    </w:p>
    <w:p>
      <w:r>
        <w:t>Tribunal cantonal TC Page 4 de 10 ci est liée par les règles de droit que le juge pénal a appliquées (ATF 124 II 103 consid. 1c/aa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b) L'ordonnance pénale rendue contre lui le 17 octobre 2017 étant entrée en force de chose jugée, il faut dès lors considérer comme établi que le recourant a conduit un véhicule ayant fait l'objet des transformations non autorisées suivantes:  une augmentation de la puissance maximale du véhicule de 92%,  l'installation d'un catalyseur sportif et d'une descente de turbo non homologuées,  un abaissement à l'aide d'amortisseurs et de ressorts non annoncés à l'autorité,  une modification non homologuée des disques et plaquettes de freins pour améliorer le freinage à chaud et  l'apposition de films fumés sur les feux arrière du véhicule. Ces modifications ont induit un accroissement du bruit à proximité de l'échappement et une augmentation des rejets de gaz d'échappement en conditions dynamiques. C'est au demeurant sur cet état de fait que l'autorité intimée a fondé sa décision. S'agissant de l'augmentation de la puissance du véhicule, il convient toutefois de préciser que, s'il est exact que la puissance du moteur de la voiture du recourant s'est révélé être environ de 92% supérieure aux valeurs d'origine, il sied de préciser que ce chiffre correspond à la puissance maximale du moteur lorsque le régime est de 6790 tr/min, ce qui correspond en l'espèce à une vitesse de 225km/h. En tant que la puissance du moteur augmente exponentiellement, il faut donc en déduire qu'en dessous de cette vitesse, l'augmentation de la puissance du moteur est inférieure à 92% (cf. expertise du TCS Center du 23 juin 2017). De même, le couple moteur, soit la force d'accélération du véhicule, est au maximum de 70% supérieure aux valeurs maximales d'origine (350 Nm / 498.7 Nm = 0.70 ; cf. expertise du TCS Center du 23 juin 2017).</w:t>
      </w:r>
    </w:p>
    <w:p>
      <w:r>
        <w:rPr>
          <w:b/>
        </w:rPr>
        <w:t>E. 4</w:t>
      </w:r>
    </w:p>
    <w:p>
      <w:r>
        <w:t>a) Aux termes de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t>Tribunal cantonal TC Page 5 de 10 Les notions de parfait état de fonctionnement et de prescriptions correspondent à celles mentionnées à l'art. 11 al. 1 LCR (cf. arrêts TF 1C_569/2010 du 7 février 2011 consid. 3.2.1; 6B_1099/2009 du 16 février 2010 consid. 3.1). La notion de parfait état de fonctionnement s'étend au-delà des critères mécanico-techniques et comprend également le fait que le véhicule soit utilisé d'une manière conforme à sa destination lorsqu'il circule (cf. arrêt TF 6B_1099/2009 précité consid. 3.1). En tant que l'OCR ne contient pas de prescriptions s'agissant de l'ensemble des critères mécanico-techniques, un véhicule peut affecter la sécurité routière même s'il est conforme à l'ensemble des prescriptions de l'OCR (cf. arrêt TF 6B_1099/2009 précité consid. 3.2). Selon l'art. 93 al. 1 LCR, celui qui porte intentionnellement atteinte à la sécurité d'un véhicule, de sorte qu'il en résulte un danger d'accident, est puni d'une peine privative de liberté de trois ans au plus ou d'une peine pécuniaire. La peine est l'amende lorsque l'auteur agit par négligence. Selon l'art. 93 al. 2 LCR, quiconque conduit un véhicule dont il sait ou devrait savoir s'il avait prêté toute l'attention commandée par les circonstances qu'il ne répond pas aux prescriptions est également puni de l'amende. Est en particulier réputé non conforme aux prescriptions au sens de l'art. 93 al. 2 LCR, le véhicule dont les composants non réceptionnés ont été montés sans l'autorisation nécessaire (art. 219 al. 1 let. c de l'ordonnance du 19 juin 1995 concernant les exigences techniques requises pour les véhicules routiers, OETV; RS 741.41). Un véhicule doit toujours être considéré comme ne répondant pas aux prescriptions s'il ne répond pas aux normes de certification et d'équipement (ATF 115 IV 144 consid. 2a; 115 IV 150 consid. 3a). Certains défauts du véhicule peuvent le rendre totalement impropre à circuler. Si l’état de fonctionnement du véhicule est tel qu’il risque de créer un accident et qu’ainsi, il compromette la sécurité de la route, le conducteur s’expose au retrait de son permis de conduire (BUSSY/RUSCONI, art. 29 LCR n. 1.2 et les références citées). D'une manière générale, l'état de sécurité du véhicule se rapporte aux éléments servant au déplacement du véhicule, soit la propulsion, le freinage et la direction, ainsi qu'aux dispositifs de freinage et d'indication de direction; l'OETV apporte des indications sur les prescriptions techniques auxquelles sont soumis les véhicules, sans que la violation de celles-ci ne représente systématiquement une atteinte à l'état de sécurité du véhicule (JEANNERET, Les dispositions pénales de la Loi sur la circulation routière [LCR] du 19 décembre 1958, art. 93 n. 9). Aux termes de l'art. 97 al. 3 OETV, une augmentation de la puissance du moteur excédant 20 % ne peut être exécutée que par le constructeur ou lorsque celui-ci déclare que le véhicule s'y prête. Les feux de position, les feux arrière, les feux de gabarit et les feux de stationnement doivent, sans éblouir, être visibles à une distance de 300 m de nuit par temps clair et les feux-stop doivent, sans éblouir, être visibles sur une distance de 100 m au moins le jour et de 300 m au moins la nuit (art. 75 al. 1 et 3 OETV). b) En l'espèce, le Ministère public a condamné le recourant sous l'angle de l'art. 93 al. 2 let. a LCR, qui, contrairement à l'al. 1, ne nécessite pas qu'un danger d'accident résulte de l'atteinte à la sécurité du véhicule. Partant, le Ministère public a considéré, d'une manière qui lie la Cour de céans, que les modifications du véhicule n'ont pas créé de danger concret d'accident. Au vu des faits établis, il faut donc constater que le recourant a fait réaliser sur son véhicule des modifications non homologuées, ce dont il était parfaitement conscient. Ce faisant, il a violé les dispositions légales précitées.</w:t>
      </w:r>
    </w:p>
    <w:p>
      <w:r>
        <w:t>Tribunal cantonal TC Page 6 de 10 Il n'est pas nécessaire que le trafic ou des tiers aient concrètement été mis en danger pour que les art. 16a ss LCR trouvent application; il suffit que le comportement de l'automobiliste soit propre, selon les circonstances, à mettre en danger le trafic de manière accrue (cf. ATF 105 Ib 255 consid. 1a; arrêt TF 6A.86/2006 du 28 mars 2007 consid. 3; BUSSY/RUSCONI, intro. art. 16ss LCR n. 3.4.7 et les références citées). Partant, la CMA se devait de prononcer une mesure administrative.</w:t>
      </w:r>
    </w:p>
    <w:p>
      <w:r>
        <w:rPr>
          <w:b/>
        </w:rPr>
        <w:t>E. 5</w:t>
      </w:r>
    </w:p>
    <w:p>
      <w:r>
        <w:t>a) 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w:t>
      </w:r>
    </w:p>
    <w:p>
      <w:r>
        <w:t>Tribunal cantonal TC Page 7 de 10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in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in JdT 1996 I 700 et les références citées). Subjectivement, l'art. 90 al. 2 LCR exige un comportement sans scrupules ou gravement contraire aux règles de la circulation, découlant à tout le moins d'une négligence grossière (ATF 118 IV 84 consid. 2a). b)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consid. 2b). Ainsi, une perte de maîtrise d'un véhicule ne constitue pas toujours une infraction grave au sens de l'art. 16c al. 1 let. a LCR. c) La jurisprudence n'a que rarement eu l'occasion de se pencher sur la gravité de la faute commise par un conducteur ayant délibérément modifié son véhicule de manière non conforme aux prescriptions. La CMA avait toutefois considéré que s'était rendu coupable d'une faute légère le conducteur d'un poids-lourd qui avait apposé des autocollants et des rideaux dans sa cabine qui avaient eu pour effet de fortement restreindre la visibilité (cf. arrêt TC FR 603 2012 121 du 13 septembre 2012). La jurisprudence du Tribunal fédéral en relation avec l'état technique défectueux des véhicules a en majeure partie trait aux profils des pneumatiques: se rend coupable d'une faute moyennement grave celui qui roule avec des pneus ne présentant par le profil légal (cf. arrêt TF 6A.89/2006 du 19 juillet 2017, consid. 2.4), la faute pouvant être qualifiée de grave dans les cas où les pneus sont pratiquement usés jusqu'à la toile (cf. arrêt TF 1C_282/2011 du 27 septembre 2011 consid. 3.6).</w:t>
      </w:r>
    </w:p>
    <w:p>
      <w:r>
        <w:t>Tribunal cantonal TC Page 8 de 10 d) aa) En l'espèce, la faute commise par le recourant ne peut pas être qualifiée de légère en tant que son comportement ne saurait être considéré comme un comportement qui, sans être totalement excusable, bénéficie de circonstances atténuantes. En effet, les modifications litigieuses, si elles sont mal réalisées ou insuffisamment compatibles entre elles, ont un impact négatif direct sur la sécurité des autres usages de la route. En particulier, dites modifications concernent des pièces cruciales pour la sécurité (freins, amortisseurs, autobloquant), et l'augmentation de la puissance moteur est près de cinq fois supérieure au seuil à partir duquel celle-ci doit être exécutée ou attestée par le constructeur. Dès lors, le cas ne saurait manifestement être considéré comme étant un cas de peu de gravité. bb) Le comportement du recourant ne saurait non plus être qualifié de particulièrement blâmable, et ainsi être constitutif d'une faute grave, contrairement à ce qu'à retenu l'autorité intimée. En effet, si ce dernier a certes ignoré les règles relatives à l'homologation des modifications apportées à un véhicule en faisant procéder à dites modifications par une de ses connaissances, il s'est montré au moins quelque peu soucieux de la sécurité de son véhicule (et notamment de sa tenue de route) en installant divers dispositifs visant à limiter les effets négatifs de l'augmentation de puissance du moteur. Le recourant ne s'est pas non plus complètement désintéressé de la qualité des modifications, en tant qu'il a indiqué avoir emmené sa voiture modifiée en Allemagne pour s'occuper de la gestion électronique des modifications apportées (cf. audition du 6 juin 2017, p. 2 l. 16 s.). De ce qui précède, il ressort que, quand bien même le recourant a abstraitement mis en danger les usagers de la route en faisant réaliser des modifications sur son véhicule sans les homologuer, il a tenté de réduire ce danger de plusieurs manières. Ainsi, la situation n'est pas comparable à celle qui aurait prévalu si le recourant avait uniquement augmenté sans homologation la puissance maximale de son moteur de 92%, sans tenter d'en minimiser le danger abstrait, sans avoir de connaissances en mécanique et sans se préoccuper de la compatibilité des modifications avec l'électronique du véhicule. Il convient également de relever que le recourant a indiqué avoir circulé pour la première fois en Suisse avec son véhicule modifié le jour de son interpellation (cf. audition du 6 juin 2017, p. 3), ce qui n'est pas infirmé par d'autres éléments du dossier, et commande également de relativiser la gravité de sa faute. En outre, il a été contrôlé indépendamment de toute infraction commise, accident ou autre excès de vitesse. Enfin, la Cour relève que le Ministère public n'a pas fondé la condamnation du recourant sur l'art. 90 al. 2 LCR, qui réprime celui qui, par une violation grave d'une règle de la circulation, crée un sérieux danger pour la sécurité d'autrui ou en prend le risque. Lorsque les conditions susmentionnées sont remplies, l'art. 90 al. 2 LCR absorbe l'art. 93 al. 2 LCR (cf. arrêt TF 6B_672/2008 consid. 1.4 ; BUSSY/RUSCONI, art. 93 LCR n. 2.4); l'art. 93 al. 2 LCR constitue par contre une lex specialis par rapport à l'art. 90 al. 1 LCR dans le cas où ce dernier sanctionne une violation de l'art. 29 LCR (cf. ATF 92 IV 143 consid. 1; arrêt TF 6B_1099/2009 consid. 3.1). Dès lors, le Ministère public a considéré que la faute du recourant ne pouvait pas être qualifiée de grave. Même si l'Instance de céans n'est pas liée par la qualification juridique opérée par le juge pénal, à défaut d'éléments concomitants aggravants, il n'y pas lieu ici de s'en départir et d'admettre la commission d'une faute grave.</w:t>
      </w:r>
    </w:p>
    <w:p>
      <w:r>
        <w:t>Tribunal cantonal TC Page 9 de 10 cc) Tout bien pesé et sur le vu de ce qui précède, il y a lieu de retenir que le recourant s'est rendu coupable d'une infraction moyennement grave au sens de l'art. 16b al. 1 let. a LCR, en tant qu'en faisant effectuer des modifications non homologuées sur son véhicule, il a abstraitement crée un danger pour la sécurité d'autrui.</w:t>
      </w:r>
    </w:p>
    <w:p>
      <w:r>
        <w:rPr>
          <w:b/>
        </w:rPr>
        <w:t>E. 6</w:t>
      </w:r>
    </w:p>
    <w:p>
      <w:r>
        <w:t>a) D'après l'art. 16b al. 2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(let. e). En vertu de l’art. 16 al. 3 LCR, les circonstances doivent être prise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du 31 mars 1999 concernant la modification de la LCR, FF 1999 IV 4106, 4131; ATF 132 II 234 consid. 2.3). b) En l'espèce, depuis 2013, le recourant a déjà fait l'objet de trois retraits de permis pour des fautes moyennement graves au moins, exécutés respectivement jusqu'au 21 novembre 2013, 19 décembre 2016 et 5 juin 2017. Au regard de ces antécédents (récidive) et de la nouvelle faute moyennement grave commise, force est de constater que le retrait de durée indéterminée prononcé par la CMA correspond à la durée minimale prévue par l'art. 16b al. 2 let. e LCR. Selon l’art. 16 al. 3 dernière phrase LCR, cette durée ne peut être réduite, pour quelque raison que ce soit.</w:t>
      </w:r>
    </w:p>
    <w:p>
      <w:r>
        <w:rPr>
          <w:b/>
        </w:rPr>
        <w:t>E. 7</w:t>
      </w:r>
    </w:p>
    <w:p>
      <w:r>
        <w:t>Sur le vu de tout ce qui précède, la CMA n’a commis aucun excès ou abus de son pouvoir d’appréciation en retenant que les infractions commises entraînaient, compte tenu de ses antécédents, le retrait du permis pour une durée indéterminée. En revanche, comme développé ci-dessus, la faute à l'origine du retrait litigieux ne saurait être qualifiée de grave mais de moyennement grave. Il y a lieu de corriger l'appréciation faite par la CMA, dès lors que la qualification d'une infraction dans les antécédents d'un conducteur peut engendrer des mesures administratives plus restrictives en cas de récidive (système des cascades; cf. art. 16b al. 2 let. d et f et 16c al. 2 let. c, d et e). Partant, le recours doit dès lors être rejeté et la décision attaquée confirmée dans son résultat. Vu l’issue du recours, les frais de procédure doivent être mis à la charge du recourant qui succombe, conformément aux art. 131 CPJA et 1 et 2 du tarif cantonal des frais de procédure et des indemnités en matière de juridiction administrative (RSF 150.12). Pour la même raison, il n’est pas alloué d’indemnité de partie (art. 137 CPJA).</w:t>
      </w:r>
    </w:p>
    <w:p>
      <w:r>
        <w:t>Tribunal cantonal TC Page 10 de 10</w:t>
      </w:r>
    </w:p>
    <w:p>
      <w:r>
        <w:rPr>
          <w:b/>
        </w:rPr>
        <w:t>E. 8</w:t>
      </w:r>
    </w:p>
    <w:p>
      <w:r>
        <w:t>En tant que la Cour statue sur le fond du litige, la requête de restitution de l’effet suspensif (603 2017 165) devient sans objet. la Cour arrête: I. Le recours (603 2017 164) est rejeté et la décision attaquée confirmée dans son résultat, au sens des considérants. II. La requête de restitution de l’effet suspensif (603 2017 165), devenue sans objet, est classée. III. Les frais de procédure, par CHF 600.-, sont mis à la charge du recourant. Ils sont compensés par l’avance de frais versée. IV. Il n’est pas alloué d’indemnité de partie. 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23 février 2018/ape/ghe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