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14 vom 9. März 2017</w:t>
      </w:r>
    </w:p>
    <w:p>
      <w:r>
        <w:t>FR Kantonsgericht, 2017-03-09, FR</w:t>
      </w:r>
    </w:p>
    <w:p>
      <w:r>
        <w:rPr>
          <w:b/>
        </w:rPr>
        <w:t xml:space="preserve">Quelle: </w:t>
      </w:r>
      <w:r>
        <w:t>https://mcp.opencaselaw.ch/entscheid/fr_gerichte_603_2017_14</w:t>
      </w:r>
    </w:p>
    <w:p>
      <w:r>
        <w:t>FR: FR_GERICHTE 603 2017 14 du 9 mars 2017</w:t>
      </w:r>
    </w:p>
    <w:p>
      <w:r>
        <w:t>IT: FR_GERICHTE 603 2017 14 del 9 marzo 2017</w:t>
      </w:r>
    </w:p>
    <w:p>
      <w:pPr>
        <w:pStyle w:val="Heading2"/>
      </w:pPr>
      <w:r>
        <w:t>Regeste</w:t>
      </w:r>
    </w:p>
    <w:p>
      <w:r>
        <w:t>Arrêt de la IIIe Cour administrative du Tribunal cantonal | Strassenverkehr und Transportwesen</w:t>
      </w:r>
    </w:p>
    <w:p>
      <w:pPr>
        <w:pStyle w:val="Heading2"/>
      </w:pPr>
      <w:r>
        <w:t>Erwägungen</w:t>
      </w:r>
    </w:p>
    <w:p>
      <w:r>
        <w:rPr>
          <w:b/>
        </w:rPr>
        <w:t>E. 1</w:t>
      </w:r>
    </w:p>
    <w:p>
      <w:r>
        <w:t>a) Interjeté dans le délai et les formes prescrits (art. 79 ss du code fribourgeois du 23 mai 1991 de procédure et de juridiction administrative; CPJA; RSF 150.1) - l'avance des frais de procédure ayant en outre été versée en temps utile - le recours est recevable à la forme et la Cour de céans peut en examiner les mérites. b)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w:t>
      </w:r>
    </w:p>
    <w:p>
      <w:r>
        <w:rPr>
          <w:b/>
        </w:rPr>
        <w:t>E. 1.8</w:t>
      </w:r>
    </w:p>
    <w:p>
      <w:r>
        <w:t>seconde) sont des standards minima habituellement reconnus (ATF 131 IV 133 consid. 3.1). Cet intervalle doit en principe être maintenu entre chaque véhicule, sous peine de compromettre gravement la sécurité de la circulation (JdT 1994 I 684; 1993 I 694; 1988 I 650). Un cas peut être grave lorsque l'intervalle entre les véhicules est inférieur à 0.8 voire 0.6 seconde (ATF 131 IV 133 consid. 3.2.2 et les références citées). Ainsi, une faute grave a notamment été retenue lorsqu'un</w:t>
      </w:r>
    </w:p>
    <w:p>
      <w:r>
        <w:t>Tribunal cantonal TC Page 6 de 8 automobiliste a, sur une distance de 800 mètres environ et à une vitesse supérieure à 100 km/h, suivi le véhicule le précédant sur la voie de gauche de l'autoroute avec un écart de moins de 10 mètres, correspondant à 0.3 seconde de temps de parcours (ATF 131 IV 133; cf. aussi arrêts TF 1C_356/2009 du 12 février 2010; 1C_7/2010 du 11 mai 2010; 1C_274/210 du 7 octobre 2010), lorsque, à une vitesse de 110 km/h, il a suivi la voiture précédente sur 1'200 mètres à une distance oscillant entre 5 et 10 mètres (0.32 seconde [arrêt TF 1C_502/2011 du 6 mars 2012]) ou encore lorsqu'il a circulé à une vitesse de 125 km/h, à nouveau sur 1'200 mètres, à une distance de 15 mètres du véhicule qui le précédait (0.4 seconde [arrêt TF 1C_446/2011 du 15 mars 2012]). En revanche, la faute a été qualifiée de moyennement grave au sens de l'art. 16b LCR lorsqu'un conducteur a suivi, à une vitesse de 100 km/h, une voiture à une distance entre 20 et 25 mètres (0.9 seconde [arrêt TF 1C_424/2012 du 15 janvier 2013]) et lorsque l'écart entre les véhicules était de 26 mètres pour une vitesse de 124 km/h (0.8 seconde [arrêt TF 1C_183/2013 du 21 juin 2013]). c) aa) En l'espèce, le recourant n'a pas respecté une distance suffisante avec le véhicule le précédant, règle fondamentale de la circulation (cf. consid. 4b). Il a donc délibérément adopté une manière de conduire dont le caractère dangereux ne pouvait lui échapper. Ce faisant, le recourant a été à l'origine d'une mise en danger sérieuse des usagers de la route, surtout si l'on considère qu'il a adopté ce comportement sur l'autoroute, à une heure où le trafic était moyennement dense. Le fait que d'autres automobilistes n'aient pas été impliqués ni n'aient subi de dommages – heureusement – relève du cas fortuit et ne saurait par conséquent profiter au recourant. Partant, on ne saurait qualifier ce comportement de faute légère. Reste à déterminer s'il faut retenir que le recourant a commis en l'espèce une faute grave, comme en a décidé l'autorité intimée. bb) Selon le rapport de police, le temps à disposition du conducteur pour agir en cas de freinage de la voiture qui le précédait était de 0.39 seconde (vitesse de 110 km/h à une distance de 10 m sur un tronçon de 305 m [10 secondes à 110 km/h], et cela en tenant compte d'une correction supplémentaire – également en faveur du recourant – d'un facteur de 1.2). Apprécié à l'aune de la jurisprudence fédérale précitée, un tel rapprochement est constitutif d'une faute grave. Les risques d'accident sont accrus, avec un intervalle semblable à celui indiqué dans les arrêts susmentionnés. Dans de telles circonstances, le conducteur est dans l'impossibilité d'adopter un comportement lui permettant d'éviter de manière assurée un accident en cas de situation imprévue, notamment lors d'une manœuvre de freinage de l'automobiliste le précédant. De ce fait résulte le risque de mettre en danger de manière abstraite accrue la sécurité de la route. On souligne que le Juge pénal a fait application de l’art. 90 al. 2 LCR en retenant, sur la base des faits qui ressortent du rapport de police, une violation grave de la LCR. Comme déjà exposé ci- dessus, la faute grave correspond en principe à la définition de l'infraction réprimée sur le plan pénal par l'art. 90 al. 2 LCR (MIZEL, p. 395). Le Tribunal fédéral tient les notions de violation grave des règles de la circulation routière selon l'art. 90 al. 2 LCR et de faute grave au sens de l'art. 16c LCR pour identiques à tous les égards (ATF 120 Ib 285). Partant, la Cour de céans ne voit pas de raisons de se distancier de la qualification de la faute telle que retenue par la CMA.</w:t>
      </w:r>
    </w:p>
    <w:p>
      <w:r>
        <w:t>Tribunal cantonal TC Page 7 de 8</w:t>
      </w:r>
    </w:p>
    <w:p>
      <w:r>
        <w:rPr>
          <w:b/>
        </w:rPr>
        <w:t>E. 2</w:t>
      </w:r>
    </w:p>
    <w:p>
      <w:r>
        <w:t>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 38). Ce n'est que si la qualification juridique d'une situation dépend essentiellement de l'appréciation de l'état de fait, qu'en principe le juge pénal est mieux à même de connaître que l'autorité administrative, que celle- ci est liée par les règles de droit que le juge pénal a appliquées (ATF 124 II 103 consid. 1 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w:t>
      </w:r>
    </w:p>
    <w:p>
      <w:r>
        <w:rPr>
          <w:b/>
        </w:rPr>
        <w:t>E. 3</w:t>
      </w:r>
    </w:p>
    <w:p>
      <w:r>
        <w:t>Selon l'art. 34 al. 4 LCR, le conducteur observera une distance suffisante envers tous les usagers de la route, notamment pour croiser, dépasser et circuler de front ou lorsque des véhicules se suivent. L'art. 12 al. 1 de l'ordonnance du 13 novembre 1962 sur les règles de la circulation routière (OCR; RS 741.11) précise que lorsque des véhicules se suivent, le conducteur doit se tenir à une distance suffisante du véhicule qui le précède, afin de pouvoir s'arrêter à temps en cas de freinage inattendu.</w:t>
      </w:r>
    </w:p>
    <w:p>
      <w:r>
        <w:t>Tribunal cantonal TC Page 4 de 8 Au vu des faits retenus par le Juge pénal – que le recourant n’a pas contestés en procédure pénale –, la violation de ces dispositions légales est établie, le recourant ayant conduit à une distance de 10 m sur un tronçon de 305 m (intervalle de 0.39 seconde) ne respectant ainsi pas une distance suffisante envers la voiture qui le précédait. Partant, une mesure administrative devait être prononcée.</w:t>
      </w:r>
    </w:p>
    <w:p>
      <w:r>
        <w:rPr>
          <w:b/>
        </w:rPr>
        <w:t>E. 4</w:t>
      </w:r>
    </w:p>
    <w:p>
      <w:r>
        <w:t>a)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et les références citées). La faute légère correspond à une négligence légère, un tel cas de figure étant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w:t>
      </w:r>
    </w:p>
    <w:p>
      <w:r>
        <w:t>Tribunal cantonal TC Page 5 de 8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 circonstances atténuantes, voire relève carrément d'une certaine malchance (MIZEL, Les nouvelles dispositions légales sur le retrait du permis de conduire, in RDAF 2004, p. 376). L'infraction sanctionnée par l'art. 16c al. 1 let. a LCR par contre correspond en principe à la définition de l'infraction réprimée sur le plan pénal par l'art. 90 al. 2 LCR (MIZEL,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 JdT 1996 I 700 avec les références). Subjectivement, l'art. 90 al. 2 LCR exige un comportement sans scrupules ou gravement contraire aux règles de la circulation, découlant à tout le moins d'une négligence grossière (ATF 118 IV 84 consid. 2a). b) Les dispositions relatives à la distance entre véhicules sont d'une importance considérable, car les cas d'accidents où le deuxième véhicule ne respecte pas une distance de sécurité suffisante avec le premier sont nombreux (ATF 126 II 358 consid. 1a). La jurisprudence a maintes fois confirmé qu'une distance suffisante, au sens de l'art. 34 al. 4 LCR, doit toujours être observée (ATF 115 IV 248 consid. 3a; 131 IV 133; arrêts TF 1C_7/2008 du 24 juillet 2008; 1C_356/2009 du 12 février 2010; 1C_274/2010 du 7 octobre 2010; 6B_3/2010 du 25 février 2010; 1C_502/2011 du 3 mars 2012). Le conducteur du véhicule qui suit doit notamment tenir compte dans son appréciation d'une certaine marge de sécurité; il doit être conscient qu'il ne perçoit le freinage du conducteur qui le précède qu'au moment où ce freinage est déjà commencé et alors que ce conducteur a déjà réagi. Par ailleurs, l'espacement doit être réglé en tenant compte des obstacles qui pourraient obliger le conducteur qui précède à faire une manœuvre d'évitement sans freinage dont le résultat serait que le conducteur qui suit se trouverait subitement en présence d'un obstacle qui lui serait caché et qu'il ne pourrait pas éviter (BUSSY &amp; RUSCONI, Code suisse de la circulation routière, 1996, commentaire ad art. 34 LCR n° 5.2). Il n'existe pas de règle absolue sur ce qu'il faut entendre par "distance suffisante" au sens des dispositions précitées; cela dépend des circonstances concrètes, notamment des conditions de la route, de la circulation et de la visibilité, de même que de l'état des véhicules impliqués (arrêt TF 1C_502/2011 du 6 mars 2012 consid. 3.1). La jurisprudence n'a pas fixé de distances minima à respecter au-delà desquelles il y aurait infractions, simple, moyennement grave ou grave, à la LCR. La règle des deux secondes ou du "demi compteur" (correspondant à un intervalle de</w:t>
      </w:r>
    </w:p>
    <w:p>
      <w:r>
        <w:rPr>
          <w:b/>
        </w:rPr>
        <w:t>E. 5</w:t>
      </w:r>
    </w:p>
    <w:p>
      <w:r>
        <w:t>a) Selon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b) En espèce, le recourant s'est déjà vu retirer son permis de conduire à raison d'une faute qualifiée de grave durant les cinq années précédant la commission de la présente infraction. Cette sanction a été exécutée jusqu'au 14 novembre 2013. Au vu de la critique du recourant qui est d’avis que pour compter le délai des cinq ans il y a lieu de se référer à la date de la décision, le Tribunal rappelle, qu’en droit de la circulation routière, un conducteur se trouve en état de récidive lorsqu'il commet un délit qui entraîne un retrait du permis obligatoire dans les deux ans - voire cinq ans - depuis la fin de l'exécution d'un précédent retrait, soit le dernier jour de l'exécution du retrait du permis de conduire (WEISSENBERGER, Kommentar zum Strassenverkehrsgesetz, 2011, ad art. 16a-c n° 10; arrêt TF 1C_271/210 du 31 août 2010 consid. 5.3). Aussi, dans la mesure où moins de cinq ans se sont écoulés entre le 14 novembre 2013 et la date de la présente infraction, soit le 25 septembre 2016, l'autorité intimée se devait de faire application de l'art. 16c al. 2 LCR. On ne voit pas pour quelle raison le recourant se réfère à une erreur administrative qui l’aurait empêché de déposer immédiatement son permis après l’évènement à l’origine de la décision du 14 avril 2011, dès lors qu'il avait lui-même interjeté un recours contre cette décision, avant de le retirer en juin 2013. Pour être complet, on souligne que, même si le retrait du permis avait débuté dans le délai usuel de six mois à compter de la décision, la présente infraction aurait été commise dans le délai de cinq ans. Par ailleurs, le fait de lier le calcul de ce délai à l’exécution du retrait repose sur l’idée que ce n’est pas la décision mais la sanction qui devrait avoir l’effet éducatif sur le comportement des conducteurs. Aussi, les conditions de l'art. 16c al. 2 let. c LCR sont réalisées et la CMA se devait de prononcer un retrait de permis pour la durée minimale de douze mois. Vu le prescrit de l'art. 16 al. 3, dernière phrase, LCR, cette durée ne peut pas être réduite, pas même au regard d’un éventuel besoin professionnel dont pourrait se prévaloir le recourant en tant que mécanicien automobile.</w:t>
      </w:r>
    </w:p>
    <w:p>
      <w:r>
        <w:rPr>
          <w:b/>
        </w:rPr>
        <w:t>E. 6</w:t>
      </w:r>
    </w:p>
    <w:p>
      <w:r>
        <w:t>Pour l'ensemble des motifs qui précèdent, il faut constater que la décision de la CMA est conforme aux principes de la légalité et de la proportionnalité, et ne concrétise aucun abus ou excès de son pouvoir d'appréciation. Elle doit dès lors être confirmée et le recours rejeté.</w:t>
      </w:r>
    </w:p>
    <w:p>
      <w:r>
        <w:t>Tribunal cantonal TC Page 8 de 8</w:t>
      </w:r>
    </w:p>
    <w:p>
      <w:r>
        <w:rPr>
          <w:b/>
        </w:rPr>
        <w:t>E. 7</w:t>
      </w:r>
    </w:p>
    <w:p>
      <w:r>
        <w:t>Vu l'issue du recours, les frais de procédure doivent être mis à la charge du recourant qui succombe, conformément à l'art. 131 CPJA et aux art. 1 et 2 du tarif fribourgeois du 17 décembre 1991 sur les frais de procédure et des indemnités en matière de juridiction administrative (RSF 150.12). la Cour arrête: I. Le recours est rejeté. Partant, la décision du 5 janvier 2017 de la CMA est confirmée. II. Les frais de procédure, par CHF 600.-, sont mis à la charge du recourant. Ils sont compensés par l'avance de frais qu'il a versée. III. Communication. Cette décision peut faire l'objet d'un recours auprès du Tribunal fédéral, à Lausanne, dans les 30 jours dès sa notification. La fixation du montant des frais de procédure peut, dans le même délai, faire l'objet d'une réclamation auprès de l'autorité qui a statué, lorsque seule cette partie de la décision est contestée (art. 148 CPJA). Fribourg, le 9 mars 2017/JFR/vth Présidente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