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124 vom 4. Juli 2018</w:t>
      </w:r>
    </w:p>
    <w:p>
      <w:r>
        <w:t>FR Kantonsgericht, 2018-07-04, DE</w:t>
      </w:r>
    </w:p>
    <w:p>
      <w:r>
        <w:rPr>
          <w:b/>
        </w:rPr>
        <w:t xml:space="preserve">Quelle: </w:t>
      </w:r>
      <w:r>
        <w:t>https://mcp.opencaselaw.ch/entscheid/fr_gerichte_603_2017_124</w:t>
      </w:r>
    </w:p>
    <w:p>
      <w:r>
        <w:t>FR: FR_GERICHTE 603 2017 124 du 4 juillet 2018</w:t>
      </w:r>
    </w:p>
    <w:p>
      <w:r>
        <w:t>IT: FR_GERICHTE 603 2017 124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die Beschwerdeführerin überhaupt ein schutzwürdiges Beschwerdeinteresse (vgl. Art. 76 lit. a VRG) aufweist, da die angefochtene Verfü- gung im Vergleich zu jener vom 11. November 2008 (gemessen an den Beschwerdeanträgen) eine Lockerung der Signalisation und damit eine Besserstellung der Beschwerdeführerin und nicht einen rechtlichen oder faktischen Nachteil für sie bedeutet (siehe BGE 125 I 7). Diese Frage kann indes offen gelassen werden, da – wie nachfolgend aufzuzeigen ist – auf die Beschwerde auch aus anderen Gründen nicht eingetreten werden kann bzw. da diese ohnehin abzuweisen ist.</w:t>
      </w:r>
    </w:p>
    <w:p>
      <w:r>
        <w:rPr>
          <w:b/>
        </w:rPr>
        <w:t>E. 2</w:t>
      </w:r>
    </w:p>
    <w:p>
      <w:r>
        <w:t>Die Beschwerdeführerin begründet ihre Beschwerde damit, dass es sich bei den Wegen P1.1.2 bzw. P1.1.5 nicht um Alp- oder Waldstrassen handle, da sie sich praktisch im Siedlungsgebiet be- fänden. Daher erweise sich die bestehende Signalisation als genügend. Implizit macht sie damit geltend, dass die erwähnten Wegabschnitte gar nicht Gegenstand eines Fahrverbotes für Alp- und Waldwege sein könnten.</w:t>
      </w:r>
    </w:p>
    <w:p>
      <w:r>
        <w:t>Kantonsgericht KG Seite 4 von 6</w:t>
      </w:r>
    </w:p>
    <w:p>
      <w:r>
        <w:rPr>
          <w:b/>
        </w:rPr>
        <w:t>E. 2.1</w:t>
      </w:r>
    </w:p>
    <w:p>
      <w:r>
        <w:t>Bereits die Verfügung der Vorinstanz vom 11. November 2008, bestätigt (unter anderem) im Urteil KG FR 603 2008 221 vom 2. Juli 2009 und im Urteil BGer 1C_416/2009 vom 14. September 2009, sah für die von der Beschwerdeführerin erwähnten Wegabschnitte wie dar- gelegt ein Fahrverbot vor (siehe Situationsplan 2008). Den verfügten Fahrverboten liegen insbe- 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Naturer- eignissen (WSR; SGF 921.11) vor, dass grundsätzlich nur Eigentümern, deren Grundstück von der Strasse erschlossen wird, und Personen in Verbindung mit der Land- oder Forstwirtschaft (lit. a) sowie Zubringern (lit. b) der Verkehr auf Waldstrassen gestattet ist. Als Waldstrassen im erwähn- ten Sinne, die grundsätzlich nicht mit Motorfahrzeugen befahren werden darf, gelten Erschlies- sungsanlagen, die der Pflege und Nutzung des Waldes dienen und die nach den Interessen des Waldes dimensioniert und angelegt sind (Botschaft vom 29. Juni 1988 zum WaG, Bundesblatt 1988 III 173 ff., S. 190; BGE 111 Ib 45 E. 3c).</w:t>
      </w:r>
    </w:p>
    <w:p>
      <w:r>
        <w:rPr>
          <w:b/>
        </w:rPr>
        <w:t>E. 2.1.2</w:t>
      </w:r>
    </w:p>
    <w:p>
      <w:r>
        <w:t>Die streitbetroffenen Wegbereiche P1.1.2 bzw. P1.1.5 wurden demnach in der Verfügung der Vorinstanz vom 11. November 2008 als Waldstrassen qualifiziert, mit der Folge, dass diese Bereiche mit Motorfahrzeugen nur zu den vorerwähnten Zwecken bzw. durch die vorgenannten Personengruppen befahren werden dürfen und grundsätzlich ein Fahrverbot besteht (vgl. insbesondere die Erwägungen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die Beschwerdeführerin mithin rügt, dass es sich bei P1.1.2 bzw. P1.1.5 nicht um einen Alp- oder Waldweg handle und der streitige Strassenabschnitt folglich gar nicht Gegenstand eines Fahrverbotes für Alp- und Waldstrassen sein könne, geht die Beschwerde über das Anfech- tungsobjekt hinaus und auf diese kann nicht eingetreten werden. Dies gilt auch deshalb, weil wie erwähnt über das Fahrverbot mit der Verfügung vom 11. November 2008 bereits rechtskräftig ent- schieden wurde.</w:t>
      </w:r>
    </w:p>
    <w:p>
      <w:r>
        <w:t>Kantonsgericht KG Seite 5 von 6</w:t>
      </w:r>
    </w:p>
    <w:p>
      <w:r>
        <w:rPr>
          <w:b/>
        </w:rPr>
        <w:t>E. 2.5</w:t>
      </w:r>
    </w:p>
    <w:p>
      <w:r>
        <w:t>Auch macht die Beschwerdeführerin vorliegend in keiner Weise geltend, dass hinsichtlich des Fahrverbotes bzw. der Qualifikation von P1.1.2 bzw. P1.1.5 als Waldstrassen (ausnahms- weise) ein Motiv für die Abänderung dieser Dauerverfügung (d.h. der Verfügung vom 11. Novem- ber 2008) bestünde. Dies wäre der Fall, wenn die Umstände sich seither wesentlich geändert hät- ten oder die Beschwerdeführerin erhebliche Tatsachen oder Beweismittel namhaft machen würde, die ihr im früheren Verfahren nicht bekannt waren oder die schon damals geltend zu machen für sie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Die Beschwerdeführerin vermag in ihrer Beschwerde bezüglich der Qualifikation als Waldstrasse weder geltend zu machen, wes- halb dies bei P1.1.5 bzw. P1.1.2 mit Bezug auf den Auenwald von Anfang an nicht der Fall gewe- sen sein sollte, noch inwiefern sich die Umstände seither wesentlich geändert hätten oder erhebli- che neue Tatsachen oder Beweismittel zu berücksichtigen seien. Entsprechende Gründe für ein Rückkommen auf die Verfügung vom 11. November 2008 sind auch aus den Akten nicht ersicht- lich. Für die Vorinstanz bestand daher kein Grund, (ausnahmsweise) auf die rechtskräftig verfügten Fahrverbote im Bereich P1.1.2 bzw. P1.1.5 zurückzukommen und die angefochtene Verfügung erweist sich diesbezüglich als gerechtfertigt.</w:t>
      </w:r>
    </w:p>
    <w:p>
      <w:r>
        <w:rPr>
          <w:b/>
        </w:rPr>
        <w:t>E. 2.6</w:t>
      </w:r>
    </w:p>
    <w:p>
      <w:r>
        <w:t>Soweit die Beschwerdeführerin schliesslich geltend macht, dass die bestehende Signalisa- tion aus ihrer Sicht genügend sei, ist sie nochmals darauf hinzuweisen, dass über das Fahrverbot mit der Verfügung vom 11. November 2008 bereits rechtskräftig entschieden, aber die Verfügung durch die Gemeinde Plasselb nie umgesetzt wurde. Die aktuelle Signalisation ist somit nicht rechtskonform. Allein aus der Tatsache, dass die im Jahre 2008 angeordnete Signalisation im Be- reich P1.1.2 und P1.1.5 bis heute nicht umgesetzt wurde, kann die Beschwerdeführerin daher nichts zu ihren Gunsten ableiten.</w:t>
      </w:r>
    </w:p>
    <w:p>
      <w:r>
        <w:rPr>
          <w:b/>
        </w:rPr>
        <w:t>E. 2.7</w:t>
      </w:r>
    </w:p>
    <w:p>
      <w:r>
        <w:t>Weitergehend verweist das Kantonsgericht die Parteien auf die ausführlichen Erwägungen im heutigen Urteil KG FR 603 2017 125 betreffend die Gemeinde Plasselb gegen das Tiefbauamt.</w:t>
      </w:r>
    </w:p>
    <w:p>
      <w:r>
        <w:rPr>
          <w:b/>
        </w:rPr>
        <w:t>E. 3</w:t>
      </w:r>
    </w:p>
    <w:p>
      <w:r>
        <w:t>Im Ergebnis ist die Beschwerde daher abzuweisen, soweit überhaupt darauf eingetreten werden kann, und die Verfügung der Vorinstanz vom 4. Juli 2017 ist zu bestätigen.</w:t>
      </w:r>
    </w:p>
    <w:p>
      <w:r>
        <w:rPr>
          <w:b/>
        </w:rPr>
        <w:t>E. 4</w:t>
      </w:r>
    </w:p>
    <w:p>
      <w:r>
        <w:t>Die Verfahrenskosten, die auf CHF 800.- festgelegt werden, sind dem Verfahrensausgang ent- sprechend der Beschwerdeführerin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und 139 VRG). (Dispositiv auf der nächsten Seite)</w:t>
      </w:r>
    </w:p>
    <w:p>
      <w:r>
        <w:t>Kantonsgericht KG Seite 6 von 6 Der Hof erkennt: I. Die Beschwerde wird abgewiesen, soweit überhaupt darauf eingetreten werden kann. II. Die Verfahrenskosten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