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122 vom 23. März 2018</w:t>
      </w:r>
    </w:p>
    <w:p>
      <w:r>
        <w:t>FR Kantonsgericht, 2018-03-23, DE</w:t>
      </w:r>
    </w:p>
    <w:p>
      <w:r>
        <w:rPr>
          <w:b/>
        </w:rPr>
        <w:t xml:space="preserve">Quelle: </w:t>
      </w:r>
      <w:r>
        <w:t>https://mcp.opencaselaw.ch/entscheid/fr_gerichte_603_2017_122</w:t>
      </w:r>
    </w:p>
    <w:p>
      <w:r>
        <w:t>FR: FR_GERICHTE 603 2017 122 du 23 mars 2018</w:t>
      </w:r>
    </w:p>
    <w:p>
      <w:r>
        <w:t>IT: FR_GERICHTE 603 2017 122 del 23 marzo 2018</w:t>
      </w:r>
    </w:p>
    <w:p>
      <w:pPr>
        <w:pStyle w:val="Heading2"/>
      </w:pPr>
      <w:r>
        <w:t>Regeste</w:t>
      </w:r>
    </w:p>
    <w:p>
      <w:r>
        <w:t>Urteil des III. Verwaltungsgerichtshofes des Kantonsgerichts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Dezember 1991 der Verfahrenskosten und Entschädigungen in der Verwaltungsjustiz; TarifVJ; SGF 150.12). Der Saldo von CHF 400.- ist ihr zurückzuerstatten; dass keine Parteientschädigung geschuldet ist (Art. 137 und 139 VRG); (Dispositiv auf der nächsten Seite)</w:t>
      </w:r>
    </w:p>
    <w:p>
      <w:r>
        <w:t>Kantonsgericht KG Seite 4 von 4 erkennt der Hof: I. Auf die Beschwerde wird nicht eingetreten. II. Die Gerichtskosten von CHF 400.- werden der Beschwerdeführerin auferlegt und mit dem geleisteten Kostenvorschuss verrechnet. Der Saldo von CHF 400.- wird ihr zurückerstattet. III. Zustellung. Gegen diesen Entscheid kann innert 30 Tagen ab Zustellung Beschwerde beim Bundesgericht eingereicht werden. Freiburg, 23. März 2018/dgr Präsidentin Gerichtsschreiberin-Praktikantin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