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111 vom 20. März 2018</w:t>
      </w:r>
    </w:p>
    <w:p>
      <w:r>
        <w:t>FR Kantonsgericht, 2018-03-20, FR</w:t>
      </w:r>
    </w:p>
    <w:p>
      <w:r>
        <w:rPr>
          <w:b/>
        </w:rPr>
        <w:t xml:space="preserve">Quelle: </w:t>
      </w:r>
      <w:r>
        <w:t>https://mcp.opencaselaw.ch/entscheid/fr_gerichte_603_2017_111</w:t>
      </w:r>
    </w:p>
    <w:p>
      <w:r>
        <w:t>FR: FR_GERICHTE 603 2017 111 du 20 mars 2018</w:t>
      </w:r>
    </w:p>
    <w:p>
      <w:r>
        <w:t>IT: FR_GERICHTE 603 2017 111 del 20 marzo 2018</w:t>
      </w:r>
    </w:p>
    <w:p>
      <w:pPr>
        <w:pStyle w:val="Heading2"/>
      </w:pPr>
      <w:r>
        <w:t>Regeste</w:t>
      </w:r>
    </w:p>
    <w:p>
      <w:r>
        <w:t>Arrêt de la IIIe Cour administrative du Tribunal cantonal | Strassenverkehr und Transportwesen</w:t>
      </w:r>
    </w:p>
    <w:p>
      <w:pPr>
        <w:pStyle w:val="Heading2"/>
      </w:pPr>
      <w:r>
        <w:t>Erwägungen</w:t>
      </w:r>
    </w:p>
    <w:p>
      <w:r>
        <w:rPr>
          <w:b/>
        </w:rPr>
        <w:t>E. 1</w:t>
      </w:r>
    </w:p>
    <w:p>
      <w:r>
        <w:t>a) Déposé dans le délai et les formes prescrits, le présent recours est recevable en vertu des art. 12 de la loi fribourgeoise du 12 novembre 1981 d’application de la législation fédérale sur la circulation routière (LALCR; RSF 781.1) et 79 à 81 du code du 23 mai 1991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w:t>
      </w:r>
    </w:p>
    <w:p>
      <w:r>
        <w:t>Tribunal cantonal TC Page 3 de 8 expresse, le Tribunal cantonal ne peut pas examiner en l’espèce le grief d’inopportunité (art. 78 al.</w:t>
      </w:r>
    </w:p>
    <w:p>
      <w:r>
        <w:rPr>
          <w:b/>
        </w:rPr>
        <w:t>E. 2</w:t>
      </w:r>
    </w:p>
    <w:p>
      <w:r>
        <w:t>a)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no 38). Ce n'est que si la qualification juridique d'une situation dépend essentiellement de l'appréciation de l'état de fait, qu'en principe le juge pénal est mieux à même de connaître que l'autorité administrative, que celle- ci est liée par les règles de droit que le juge pénal a appliquées (ATF 124 II 103 consid. 1c/aa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b) En l'espèce, le recourant ne conteste pas les faits qui lui sont reprochés et n'a pas fait opposition à l'ordonnance pénale prononcée à son endroit. Il faut dès lors considérer comme établi qu'il n'a pas fait preuve de l'attention nécessaire à l'approche d'un passage pour piétons et a percuté, alors qu'il circulait à basse vitesse, une piétonne qui traversait la chaussée de droite à gauche, la projetant au sol et lui faisant subir une blessure à la tête qui nécessita des points de suture.</w:t>
      </w:r>
    </w:p>
    <w:p>
      <w:r>
        <w:rPr>
          <w:b/>
        </w:rPr>
        <w:t>E. 3</w:t>
      </w:r>
    </w:p>
    <w:p>
      <w:r>
        <w:t>a) A teneur de l'art. 33 al. 2 LCR, avant les passages pour piétons, le conducteur circulera avec une prudence particulière et, au besoin, s'arrêtera pour laisser la priorité aux piétons qui se trouvent déjà sur le passage ou s'y engagent.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127 IV 34 consid. 3c/bb; 122 IV 225 consid. 2b).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(arrêt TF 1C_87/2009 du 11 août 2009 consid. 3.2, JdT 2009 I 512; arrêt TF 6S.96/2006 du 3 avril 2006 consid. 2.2, JdT 2006 I 439; ATF 121 IV 286 consid. 4b; 115 II 283 consid. 1a).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(arrêts TF 1C_504/2011 du 17 avril 2012 consid. 2.4; 6B_493/2011 du 12 décembre 2011 consid. 4.2.2; 6B_1070/2009 du 22 mars 2010 consid. 3.2; 6S.96/2006 du 3 avril 2006 consid. 2.2, JdT 2006 I 439).</w:t>
      </w:r>
    </w:p>
    <w:p>
      <w:r>
        <w:t>Tribunal cantonal TC Page 4 de 8 L’art. 3 al. 1, 1ère phrase, de l’ordonnance du 13 novembre 1962 sur la circulation routière (OCR; RS 741.11) précise que le conducteur vouera son attention à la route et à la circulation. Il évitera toute occupation qui rendrait plus difficile la conduite du véhicule.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 menacent la vie, l’intégrité corporelle ou les biens matériels d’autrui (BUSSY/RUSCONI, Code suisse de la circulation routière commentée, 4e éd. 2015, art. 31 LCR n. 2 ss). Par ailleurs, l'observation de la règle de l'adaptation de la vitesse aux "circonstances" est la première condition de la maîtrise du véhicule. S'il veut "pouvoir se conformer aux règles de la prudence", comme le prescrit l'art. 31 al. 1 LCR, le conducteur devra en effet,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là d'une notion concrète et il faut tenir compte de l'ensemble des circonstances (BUSSY/RUSCONI, art. 32 LCR n. 1.1). b) En l'espèce, il est établi que le recourant n'a pas remarqué la présence d'une piétonne qui s'était engagée sur un passage sécurisé, qu'il n'a pas pu freiner à temps et l'a heurtée. Ce faisant, il a enfreint les dispositions précitées, de sorte qu'une mesure administrative devait être prononcée.</w:t>
      </w:r>
    </w:p>
    <w:p>
      <w:r>
        <w:rPr>
          <w:b/>
        </w:rPr>
        <w:t>E. 4</w:t>
      </w:r>
    </w:p>
    <w:p>
      <w:r>
        <w:t>a) La LCR distingue les infractions légères, moyennement graves et graves (art. 16a à 16c LCR). Conformément à l’art. 16a al. 1 let. a LCR, commet un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w:t>
      </w:r>
    </w:p>
    <w:p>
      <w:r>
        <w:t>Tribunal cantonal TC Page 5 de 8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La faute légère correspond à une négligence légère, un tel cas de figure étant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(MIZEL, Les nouvelles dispositions légales sur le retrait du permis de conduire, in RDAF 2004, p. 376). L'infraction sanctionnée par l'art. 16c al. 1 let. a LCR par contre correspond en principe à la définition de l'infraction réprimée sur le plan pénal par l'art. 90 al. 2 LCR (MIZEL, p. 395). Le Tribunal fédéral tient ces notions pour identiques à tous les égards (ATF 120 Ib 285 consid. 3, in JdT 1995 I 678);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in JdT 1996 I 700 et les références citées). Subjectivement, l'art. 90 al. 2 LCR exige un comportement sans scrupules ou gravement contraire aux règles de la circulation, découlant à tout le moins d'une négligence grossière (ATF 118 IV 84 consid. 2a). b) D'après la jurisprudence, la faute d'un conducteur qui a heurté une personne engagée sur un passage pour piétons en ne s'arrêtant pas à temps ne peut pas être qualifiée de légère (cf. arrêts TF 4A_239/2015 du 6 octobre 2015 consid. 2.3; 1C_425/2012 du 17 décembre 2012 consid. 4.1; 1C_87/2009 du 11 août 2009 consid. 4.3).</w:t>
      </w:r>
    </w:p>
    <w:p>
      <w:r>
        <w:t>Tribunal cantonal TC Page 6 de 8 La jurisprudence a qualifié de grave la faute commise par un conducteur qui, circulant à 30 km/h dans une zone à important trafic piétonnier et après avoir contourné un îlot de tram, avait renversé mortellement une piétonne à quelques mètres d'un passage pour piétons, la faute commise par un motocycliste qui, de nuit et sur une chaussée mouillée, n'avait remarqué que tardivement un piéton sur un passage sécurisé et l'avait percuté avec sa moto, la faute commise par un conducteur qui, ébloui plusieurs fois par le soleil, a continué de circuler à 55 km/h à l'intérieur d'une localité, en particulier sur un passage pour piétons et ce sans visibilité, ou encore la double infraction commise par un automobiliste qui, n'ayant pas adapté sa vitesse aux circonstances, avait violé la priorité à un piéton et l'avait heurté (cf. arrêts TF 1C_87/2009 consid. 4.3; 1C_425/2012 du 17 décembre 2012 consid. 4.1 et les arrêts cités). Ont en revanche été qualifiées de moyennement grave la faute commise par un conducteur qui avait démarré au passage au vert du signal lumineux, sans prendre garde au feu orange clignotant et avait renversé un piéton qui traversait normalement sur un passage sécurisé, la faute commise par une conductrice qui n'avait pas accordé la priorité à un piéton déjà engagé sur le passage protégé au motif qu'une camionnette lui masquait la vue, la faute commise par un automobiliste qui, ébloui par les phares d'un véhicule venant en sens inverse, n'avait pas pu freiner à temps et avait renversé un piéton qui avait déjà traversé plus de la moitié du passage protégé, la faute commise par une conductrice inattentive qui avait heurté une piétonne engagée sur un passage sécurisé peu après avoir bifurqué à gauche, ou encore la faute commise par un conducteur qui, à l'approche d'un carrefour, alors qu'il réduisait son allure et concentrait son attention sur les véhicules venant de sa gauche, avait remarqué tardivement la piétonne qui avait traversé les trois- quarts d'un passage sécurisé, l'avait heurtée et fait chuter (cf. arrêt TF 1C_425/2012 du 17 décembre 2012 consid. 4.1 et les arrêts citées). c) En l'occurrence, l'infraction commise ne saurait être qualifiée de légère, comme le rappelle la jurisprudence précitée. Dans les circonstances du cas d'espèce, elle ne doit toutefois pas non plus être qualifiée de grave. Certes, il est incontestable qu'en violant la priorité au piéton, le recourant a mis sérieusement en danger la sécurité d'autrui, au sens de l'art. 16c al. 1 let. a LCR, la piétonne ayant chuté et souffert d'une plaie à la tête et de contusions; il est au demeurant notoire que le fait de renverser un piéton peut, dans tous les cas, avoir des conséquences tragiques (cf. arrêt TF 1C_87/2009 consid. 4.2). En revanche, il n'y a pas lieu de retenir que la faute commise est particulièrement blâmable ou qu'elle relève d'une négligence grossière, au sens développé par la jurisprudence (cf. ATF 122 II 228 consid. 3b, in JdT 1996 I 700 et les références citées; 118 IV 84 consid. 2a). En effet, il faut d'emblée relever qu'à cette heure de pointe en semaine, le trafic est très dense aux abords de la gare et impose une vigilance accrue à la circulation des véhicules, des cycles et des piétons. En l'occurrence, le recourant circulait à faible vitesse, qu'il estime entre 5 et 10 km/h. Alors qu'il entrait dans la zone d'ombre de l'entrée du passage sous voies, il n'a pas remarqué la piétonne qui venait de s'engager sur le passage pour piétons; elle portait des vêtements sombres et, jusqu'à environ un mètre de la route, elle était partiellement masquée par un mur de soutènement. Pour sa part, celle-ci a également déclaré ne pas avoir vu qu'une voiture arrivait sur sa gauche, ce qui peut laisser supposer qu'elle marchait à vive allure sans prêter attention à la circulation. Dans ce contexte, l'inattention passagère du recourant, qui ne découle pas d'un comportement crasse ou désinvolte, peut encore être qualifiée de moyennement grave. Cette appréciation, plus clémente que celle retenue par la CMA, se justifie au vu des circonstances du cas. Elle est corroborée par les antécédents jusqu'alors sans tache de l'intéressé, titulaire du permis de conduire depuis plus</w:t>
      </w:r>
    </w:p>
    <w:p>
      <w:r>
        <w:t>Tribunal cantonal TC Page 7 de 8 de trente ans. Elle correspond également à la qualification retenue par le juge pénal, qui a fondé son jugement sur l'art. 90 al. 1 LCR.</w:t>
      </w:r>
    </w:p>
    <w:p>
      <w:r>
        <w:rPr>
          <w:b/>
        </w:rPr>
        <w:t>E. 5</w:t>
      </w:r>
    </w:p>
    <w:p>
      <w:r>
        <w:t>a) Aux termes de l’art. 16b al. 2 let. a LCR, après une infraction moyennement grave, le permis d'élève conducteur ou le permis de conduire est retiré pour un mois au minimum.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p. 4131; ATF 132 II 234 consid. 2.3). b) En l'espèce, l'autorité de céans dispose de tous les éléments pour statuer sur l'affaire (cf. art. 98 al. 2 CPJA). En effet, vu les circonstances du cas et les très bons antécédents du recourant, il convient en l'espèce de s'en tenir à la durée légale minimale du retrait, soit à un mois.</w:t>
      </w:r>
    </w:p>
    <w:p>
      <w:r>
        <w:rPr>
          <w:b/>
        </w:rPr>
        <w:t>E. 6</w:t>
      </w:r>
    </w:p>
    <w:p>
      <w:r>
        <w:t>a) Pour l’ensemble des motifs qui précèdent, le recours doit être admis et la décision de la CMA modifiée en ce sens que le permis de conduire de A.________ lui est retiré pour la durée d'un mois en raison de la commission d'une infraction moyennement grave. b) Vu l'issue du recours, il n'est pas perçu de frais de procédure (art. 131 et 133 CPJA). Ayant obtenu gain de cause, le recourant a droit à des dépens qu'il convient de fixer de manière globale, en application de l'art. 11 al. 3 du tarif cantonal du 17 décembre 1991 des frais de procédure et des indemnités en matière de juridiction administrative (Tarif JA; RSF 150.12), à CHF 1'250.-, TVA en sus, mis à la charge de la CMA. (Dispositif sur la page suivante)</w:t>
      </w:r>
    </w:p>
    <w:p>
      <w:r>
        <w:t>Tribunal cantonal TC Page 8 de 8 la Cour arrête: I. Le recours est admis. Partant, la décision de la CMA du 8 juin 2017 est réformée en ce sens que le permis de conduire de A.________ lui est retiré pour la durée minimale légale d'un mois en raison de la commission d'une infraction moyennement grave. II. Il n'est pas perçu de frais de procédure. L'avance de frais versée, soit CHF 600.-, est restituée au recourant. III. Une indemnité de partie globale de CHF 1'250.- (débours compris), plus CHF 100.- au titre de la TVA, soit au total CHF 1'350.-, est allouée au mandataire du recourant. Elle est mise à la charge de la CMA.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20 mars 2018/mju/ghe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