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100 vom 13. Februar 2018</w:t>
      </w:r>
    </w:p>
    <w:p>
      <w:r>
        <w:t>FR Kantonsgericht, 2018-02-13, FR</w:t>
      </w:r>
    </w:p>
    <w:p>
      <w:r>
        <w:rPr>
          <w:b/>
        </w:rPr>
        <w:t xml:space="preserve">Quelle: </w:t>
      </w:r>
      <w:r>
        <w:t>https://mcp.opencaselaw.ch/entscheid/fr_gerichte_603_2017_100</w:t>
      </w:r>
    </w:p>
    <w:p>
      <w:r>
        <w:t>FR: FR_GERICHTE 603 2017 100 du 13 février 2018</w:t>
      </w:r>
    </w:p>
    <w:p>
      <w:r>
        <w:t>IT: FR_GERICHTE 603 2017 100 del 13 febbraio 2018</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Selon l'art. 28 LCR, les usagers de la route s'arrêteront devant les passages à niveau, lorsque les barrières se ferment ou que des signaux commandent l'arrêt. L'art. 93 al. 2 de</w:t>
      </w:r>
    </w:p>
    <w:p>
      <w:r>
        <w:t>Tribunal cantonal TC Page 3 de 6 l'ordonnance du 5 septembre 1979 sur la signalisation routière (OSR; RS 741.21), précise que les barrières, demi-barrières ou barrières à ouverture sur demande qui sont fermées ou qui se ferment, les feux clignotants rouges, les feux rouges, ainsi que les signaux acoustiques signifient "arrêt". Les usagers de la route doivent s'arrêter dès que fonctionnent les feux clignotants (BUSSY/RUSCONI, Code suisse de la circulation routière, 2015, art. 28 ch. 8.1). Le Tribunal fédéral a souligné qu'une infraction à l'art. 28 LCR est en soi constitutive d'une faute très importante (cf. arrêt TF 5C.276/2002 du 8 avril 2003 consid. 4); en particulier, celui qui ne remarque pas les signaux lumineux clignotants présents à un passage à niveau commet une négligence grave (cf. ATF 93 II 111 consid. 10). A toutefois été qualifiée de moyennement grave la faute commise par une automobiliste qui, en sortant d'un parking, s'était engagée sur un passage à niveau sans barrières mais muni d'un signal lumineux et sonore et était entrée en collision avec un train à l'approche après avoir vainement tenté de faire marche arrière (cf. arrêt TF 1C_116/2011 du 14 septembre 2011 consid. 4.4). b) En l'espèce, le recourant ne conteste pas les faits qui lui sont reprochés. Il faut dès lors considérer comme établi qu'à un passage à niveau, il a accéléré pour dépasser la voiture qui le précédait et qui s'arrêtait, dès lors que les feux clignotants indicateurs étaient enclenchés. Ce faisant, le recourant a violé le prescrit de l'art. 28 LCR précité, de sorte qu'une mesure administrative devait être prononcée à son endroit.</w:t>
      </w:r>
    </w:p>
    <w:p>
      <w:r>
        <w:rPr>
          <w:b/>
        </w:rPr>
        <w:t>E. 3</w:t>
      </w:r>
    </w:p>
    <w:p>
      <w:r>
        <w:t>a) 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w:t>
      </w:r>
    </w:p>
    <w:p>
      <w:r>
        <w:t>Tribunal cantonal TC Page 4 de 6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in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in JdT 1996 I 700 et les références citées). Subjectivement, l'art. 90 al. 2 LCR exige un comportement sans scrupules ou gravement contraire aux règles de la circulation, découlant à tout le moins d'une négligence grossière (ATF 118 IV 84 consid. 2a). b)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w:t>
      </w:r>
    </w:p>
    <w:p>
      <w:r>
        <w:t>Tribunal cantonal TC Page 5 de 6 peu de gravité lorsque la faute est moyenne ou grave (ATF 125 II 561 consid. 2b). Ainsi, une perte de maîtrise d'un véhicule ne constitue pas toujours une infraction grave au sens de l'art. 16c al. 1 let. a LCR. c) En l'occurrence, au lieu de ralentir et de s'arrêter à l'approche du passage à niveau, dès lors que les feux clignotants étaient enclenchés, le recourant a accéléré afin de dépasser le véhicule qui le précédait qui, comme il se doit, s'arrêtait. Ce faisant, le recourant a sciemment adopté un comportement interdit, vraisemblablement dans le seul but d'éviter d'avoir à patienter le temps de laisser passer le train qui approchait. Par sa manœuvre, il a clairement pris le risque de mettre sérieusement en danger sa propre sécurité comme aussi celle des autres usagers de la route et du rail. Son comportement ne mérite pas d'excuse. En tout état de cause, la faute ne saurait être considérée comme légère, au sens de bégnine du terme. A cela s'ajoute que la réputation du recourant en tant que conducteur est particulièrement mauvaise, puisqu'il a déjà fait l'objet de trois retraits du permis de conduire pour faute moyennement grave - en mars et août 2008 et en avril 2010 - et d'un retrait de sécurité d'une durée indéterminée mais pour 24 mois au minimum, en novembre 2011, mesure qui a été révoquée en juin 2013. Ses antécédents ne sauraient ainsi d'aucune manière pondérer la gravité de la faute commise. Aussi, en qualifiant de moyennement grave la faute commise par le recourant, la CMA n'a manifestement pas violé la loi, ni commis un quelconque excès ou abus de son pouvoir d'appréciation.</w:t>
      </w:r>
    </w:p>
    <w:p>
      <w:r>
        <w:rPr>
          <w:b/>
        </w:rPr>
        <w:t>E. 5</w:t>
      </w:r>
    </w:p>
    <w:p>
      <w:r>
        <w:t>a) Selon l’art. 16b al. 2 let. f LCR, après une infraction moyennement grave, le permis d'élève conducteur ou le permis de conduire est retiré définitivement si, au cours des cinq années précédentes, le permis a été retiré pour une durée indéterminée. Le point de départ pour le calcul du délai de cinq ans est la fin de l'exécution du précédent retrait (cf. ATF 136 II 447 consid. 5.3; arrêt TF 1C_600/2015 du 1er mars 2016 consid. 3.1).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4106, 4131; ATF 132 II 234 consid. 2.3). b) En l'espèce, le recourant s'est vu retirer son permis de conduire pour une durée indéterminée en 2011 (art. 16c al. 2 let. d LCR), mesure qui a pris fin le 27 juin 2013, soit moins de cinq ans avant la commission de l'infraction litigieuse. Celle-ci, de moyenne gravité, imposait le retrait définitif de son permis de conduire, en application de l'art. 16b al. 2 let. f LCR. Aucune autre mesure plus clémente n'était envisageable, vu le texte clair de cette disposition. La Cour est certes bien consciente des inconvénients que le recourant aura à subir en raison du retrait de son permis de conduire. Cela étant, par son comportement téméraire au volant, le</w:t>
      </w:r>
    </w:p>
    <w:p>
      <w:r>
        <w:t>Tribunal cantonal TC Page 6 de 6 recourant a pris le risque non seulement de mettre sa propre sécurité et celles des autres usagers de la voie publique en danger, mais également de se voir retirer son permis de conduire pour une très longue durée, au vu de ses mauvais antécédents. Il ne peut dès lors s'en prendre qu'à lui- même s’il doit maintenant en subir les conséquences. c) A l'échéance d'un délai de cinq ans, le recourant pourra requérir la levée de la mesure, aux conditions mentionnées dans la décision de la CMA (cf. art. 17 al. 4 et 23 al. 3 LCR; arrêt TF 6A.4/2004 consid. 3.2; FF 1999 4106, 4133).</w:t>
      </w:r>
    </w:p>
    <w:p>
      <w:r>
        <w:rPr>
          <w:b/>
        </w:rPr>
        <w:t>E. 6</w:t>
      </w:r>
    </w:p>
    <w:p>
      <w:r>
        <w:t>a) Pour l'ensemble des motifs qui précèdent, la décision de la CMA doit être confirmée et le recours rejeté. b) Dans la mesure où, par la présente décision, la Cour tranche le fond du recours, la demande de restitution de l'effet suspensif au recours devient sans objet. c) Vu l'issue du recours, les frais de procédure doivent être mis à la charge du recourant qui succombe (art. 131 CPJA). la Cour arrête: I. Le recours (603 2017 100) est rejeté. Partant, la décision de la CMA du 11 mai 2017 est confirmée. II. Les frais de procédure, par CHF 600.-, sont mis à la charge du recourant. Ils sont compensés par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février 2018 /mju/ghe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