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 vom 6. November 2017</w:t>
      </w:r>
    </w:p>
    <w:p>
      <w:r>
        <w:t>FR Kantonsgericht, 2017-11-06, FR</w:t>
      </w:r>
    </w:p>
    <w:p>
      <w:r>
        <w:rPr>
          <w:b/>
        </w:rPr>
        <w:t xml:space="preserve">Quelle: </w:t>
      </w:r>
      <w:r>
        <w:t>https://mcp.opencaselaw.ch/entscheid/fr_gerichte_603_2017_1</w:t>
      </w:r>
    </w:p>
    <w:p>
      <w:r>
        <w:t>FR: FR_GERICHTE 603 2017 1 du 6 novembre 2017</w:t>
      </w:r>
    </w:p>
    <w:p>
      <w:r>
        <w:t>IT: FR_GERICHTE 603 2017 1 del 6 novembre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Déposé dans le délai et les formes prescrits, le présent recours est recevable en vertu des art. 12 de la loi fribourgeoise du 12 novembre 1981 d’application de la législation fédérale sur la circulation routière (LALCR; RSF 781.1) et 79 à 81 du code du 23 mai 1991 de procédure et de juridiction administrative (CPJA; RSF 150.1). Le Tribunal cantonal peut donc entrer en matière sur les mérites de son pourvoi.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b) En l'espèce, la CMA n'a pas eu connaissance du jugement rendu par l'autorité pénale compétente. Elle a retenu toutefois les mêmes faits, exception faite du dépassement de vitesse, ce qui est favorable au recourant. Pour sa part, ce dernier n'a pas contesté l'ordonnance pénale du 9 novembre 2016. Celle-ci est dès lors entrée en force. Aussi, en application de la jurisprudence précitée, dans la mesure où le recourant a accepté sa condamnation et n'a pas remis en cause les faits sur lesquels celle-ci repose, il n'y a pas lieu de se distancier des considérations de fait émises par le juge pénal. En particulier, la Cour de céans ne</w:t>
      </w:r>
    </w:p>
    <w:p>
      <w:r>
        <w:t>Tribunal cantonal TC Page 4 de 8 peut pas entrer en matière sur les explications que tente le recourant pour justifier sa perte de maîtrise, arguments qui sont manifestement de ceux qu'il aurait pu soutenir dans le cadre d'une opposition. Partant, il faut tenir pour établi que le recourant a perdu la maîtrise de son véhicule et percuté une borne hydrante par suite de vitesse excessive et inadaptée aux circonstances.</w:t>
      </w:r>
    </w:p>
    <w:p>
      <w:r>
        <w:rPr>
          <w:b/>
        </w:rPr>
        <w:t>E. 3</w:t>
      </w:r>
    </w:p>
    <w:p>
      <w:r>
        <w:t>a) En vertu de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(al. 1, 1ère phrase).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(cf. arrêt TF 1C_361/2014 du 26 janvier 2015 consid. 3.1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(arrêt TF 6B_1006/2016 du 24 juillet 2017 consid. 2.1; ATF 83 IV 84; cf. également arrêt TF 1C_361/2014 du 26 janvier 2015 consid. 3.1 et références citées).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(BUSSY/RUSCONI, art. 32 LCR n. 1.1). b) En l’espèce, au vu des faits établis, il faut constater que le recourant, de manière non excusable, n'a pas adapté sa vitesse à la conduite et qu'il a violé les dispositions légales précitées. Partant, la CMA se devait de prononcer une mesure administrative.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Commet une infraction moyennement grave selon l’art. 16b al. 1 let. a LCR, la personne qui, en violant les règles de la circulation, crée un danger pour la sécurité d’autrui ou en prend le risque.</w:t>
      </w:r>
    </w:p>
    <w:p>
      <w:r>
        <w:t>Tribunal cantonal TC Page 5 de 8 Enfin, commet une infraction grave selon l’art. 16c al. 1 let. a LCR, la personne qui, en violant gravement les règles de la circulation, met sérieusement en danger la sécurité d’autrui ou en prend le risque. Ainsi, la loi fait la distinction entre: - le cas de très peu de gravité (art. 16a al. 4 LCR); - le cas de peu de gravité (art. 16a al. 1 LCR); - le cas de gravité moyenne (art. 16b al. 1 LCR); - le cas grave (art. 16c al. 1 LCR). b)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16a al. 3 LCR; ATF 124 II 259 consid. 2b/aa et les arrêts cités). Il ne saurait en revanche être question de tenir compte des besoins professionnels de l’intéressé, ceux-ci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(Message du Conseil fédéral concernant la modification de la LCR du 31 mars 1999, FF 1999 IV 4133; ATF 136 II 447 consid. 3.2; arrêt TF 6A.16/2006 du 28 mars 2007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w:t>
      </w:r>
    </w:p>
    <w:p>
      <w:r>
        <w:t>Tribunal cantonal TC Page 6 de 8 d’un conducteur moyen. En dernière analyse, la faute légère représente souvent un comportement qui, sans être totalement excusable, bénéficie des circonstances atténuantes, voire relève carrément d’une certaine malchance (MIZEL, Droit et pratique illustrée du retrait du permis de conduire, 2015, p. 340 ss). Une perte de maîtrise d'un véhicule ne constitue pas toujours une infraction grave au sens de l'art. 16c al. 1 let. a LCR. Une telle conclusion ne saurait en tout cas être déduite de l'ATF 127 II 302, puisque, dans cet arrêt, il est justement admis qu'une perte de maîtrise peut constituer un cas de peu de gravité suivant les circonstances du cas d'espèce. C'est donc bien selon ces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Les nouvelles dispositions légales sur le retrait du permis de conduire, in RDAF 2004 I 361, p. 367; arrêt TF 1C_235/2007 du 29 novembre 2007). c) En l'occurrence, la faute commise ne saurait être qualifiée de légère au sens de bénigne du terme. Le recourant n'a en effet pas été en mesure de conserver la maîtrise de son véhicule à la sortie d'un giratoire en raison d'une vitesse qui n'était pas adaptée à la configuration des lieux; il a percuté une borne hydrante et a terminé sa course à 40 mètres de la zone d’impact. Il a ainsi transgressé deux règles élémentaires de la prudence requise après un giratoire qui nécessite pourtant, à son entrée, une manœuvre de ralentissement (cf. art. 41b de l'ordonnance du 13 novembre 1962 sur les règles de la circulation routière, OCR; RS 714.11). Dans de telles circonstances, tant la faute que la mise en danger qui en a découlé devaient être qualifiées à tout le moins de moyennement graves, comme l'a retenu l'autorité intimée.</w:t>
      </w:r>
    </w:p>
    <w:p>
      <w:r>
        <w:rPr>
          <w:b/>
        </w:rPr>
        <w:t>E. 5</w:t>
      </w:r>
    </w:p>
    <w:p>
      <w:r>
        <w:t>a) D'après l'art. 16b al. 2 LCR, après une infraction moyennement grave, le permis d’élève conducteur ou le permis de conduire est retiré pour neuf mois au minimum si, au cours des deux années précédentes, le permis a été retiré à deux reprises en raison d’infractions qualifiées de moyennement graves au moins (let. c). En vertu de l’art. 16 al. 3 LCR, les circonstances doivent être prise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 4131; ATF 132 II 234 consid. 2.3). Soulignons par ailleurs qu’interprétant la notion de récidive au sens de l'art. 17 al. 1 let. b et d LCR, le Tribunal fédéral a jugé qu'il y a récidive même si les véhicules en cause n'appartiennent pas à la même catégorie; raisonner autrement ne permettrait pas - dans de nombreux cas - d'atteindre le but fixé par la loi (cf. arrêt TF 1C_247/2017 du 12 mai 2017 consid. 2; ATF 109 Ib 139 consid. 1; 104 Ib 55). Par ailleurs, même le retrait du permis de conduire les cyclomoteurs - qui appartiennent désormais à la catégorie M qui fait partie des catégories spéciales selon l'art. 3 al. 3 de l'ordonnance du 27 octobre 1976 réglant l'admission des personnes et des véhicules à la</w:t>
      </w:r>
    </w:p>
    <w:p>
      <w:r>
        <w:t>Tribunal cantonal TC Page 7 de 8 circulation routière, RS 741.51 - déclenche les cascades prévues aux art. 16a-c LCR (arrêt TF 1C_766/2013 du 1er mai 2014 consid. 4.2 à 4.6). b) En l'espèce, le recourant a déjà fait l'objet de deux retraits de permis pour faute moyennement grave, exécutés respectivement jusqu'au 2 novembre 2014 et 1er mars 2016, soit avant même qu’il ne soit au bénéfice du permis de conduire à l’essai de la catégorie B (28 juin 2016). Au regard de ces antécédents (récidive) et de la nouvelle faute moyennement grave commise, il faut constater que la CMA s’en est tenue à la durée minimale prévue par l’art. 16b al. 2 let. c LCR en retirant le permis de conduire du recourant pour la durée de neuf mois. Sur le vu de l’art. 16 al. 3 dernière phrase LCR, cette durée ne peut être réduite, pour quelque raison que ce soit.</w:t>
      </w:r>
    </w:p>
    <w:p>
      <w:r>
        <w:rPr>
          <w:b/>
        </w:rPr>
        <w:t>E. 6</w:t>
      </w:r>
    </w:p>
    <w:p>
      <w:r>
        <w:t>Aux termes de l'art. 15a al. 3 LCR,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L’infraction doit s’être produite pendant la période d’essai, peu importe par contre qu’elle soit légère, moyennement grave ou grave, tant qu’elle entraîne un retrait de permis d’admonestation (BUSSY/RUSCONI, art. 15a LCR n. 4.2). En l’occurrence, compte tenu du retrait litigieux, intervenu depuis que le recourant est au bénéfice du permis de conduire à l’essai, soit depuis le 28 juin 2016, c’est dès lors également à juste titre que la CMA a prolongé d’un an la période probatoire de son permis.</w:t>
      </w:r>
    </w:p>
    <w:p>
      <w:r>
        <w:rPr>
          <w:b/>
        </w:rPr>
        <w:t>E. 7</w:t>
      </w:r>
    </w:p>
    <w:p>
      <w:r>
        <w:t>Sur le vu de tout ce qui précède, la CMA n’a commis aucun excès ou abus de son pouvoir d’appréciation en retenant que les infractions commises justifiaient, compte tenu de ses antécédents, le retrait du permis pour la durée de neuf mois ainsi que la prolongation d’un an du permis à l’essai. Partant, mal fondé, le recours doit être rejeté et la décision attaquée confirmée.</w:t>
      </w:r>
    </w:p>
    <w:p>
      <w:r>
        <w:rPr>
          <w:b/>
        </w:rPr>
        <w:t>E. 8</w:t>
      </w:r>
    </w:p>
    <w:p>
      <w:r>
        <w:t>Le recourant a demandé enfin le bénéfice de l’assistance judiciaire gratuite partielle (603 2017 6). Sur le vu de ce qui précède, il sied d’admettre que son recours était d’emblée dénué de toute chance de succès, compte tenu notamment du minimum légal retenu par l’autorité intimée et du système des cascades. Partant, sa requête doit être rejetée. Le recourant, qui succombe, doit dès lors supporter les frais de la présente procédure (art. 131 CPJA). Compte tenu de son statut d’apprenti, il est perçu de sa part des frais de justice réduits à CHF 300.-.</w:t>
      </w:r>
    </w:p>
    <w:p>
      <w:r>
        <w:t>Tribunal cantonal TC Page 8 de 8 la Cour arrête: I. Le recours (603 2017 1) est rejeté. II. La requête d’assistance judiciaire gratuite partielle (603 2017 6) est rejetée. III. Des frais de justice, fixés à CHF 300.-, sont mis à la charge du recourant.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6 novembre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