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59 vom 29. Januar 2018</w:t>
      </w:r>
    </w:p>
    <w:p>
      <w:r>
        <w:t>FR Kantonsgericht, 2018-01-29, FR</w:t>
      </w:r>
    </w:p>
    <w:p>
      <w:r>
        <w:rPr>
          <w:b/>
        </w:rPr>
        <w:t xml:space="preserve">Quelle: </w:t>
      </w:r>
      <w:r>
        <w:t>https://mcp.opencaselaw.ch/entscheid/fr_gerichte_603_2016_59</w:t>
      </w:r>
    </w:p>
    <w:p>
      <w:r>
        <w:t>FR: FR_GERICHTE 603 2016 59 du 29 janvier 2018</w:t>
      </w:r>
    </w:p>
    <w:p>
      <w:r>
        <w:t>IT: FR_GERICHTE 603 2016 59 del 29 gennaio 2018</w:t>
      </w:r>
    </w:p>
    <w:p>
      <w:pPr>
        <w:pStyle w:val="Heading2"/>
      </w:pPr>
      <w:r>
        <w:t>Regeste</w:t>
      </w:r>
    </w:p>
    <w:p>
      <w:r>
        <w:t>Arrêt de la IIIe Cour administrative du Tribunal cantonal | Strassenverkehr und Transportwesen</w:t>
      </w:r>
    </w:p>
    <w:p>
      <w:pPr>
        <w:pStyle w:val="Heading2"/>
      </w:pPr>
      <w:r>
        <w:t>Erwägungen</w:t>
      </w:r>
    </w:p>
    <w:p>
      <w:r>
        <w:rPr>
          <w:b/>
        </w:rPr>
        <w:t>E. 1</w:t>
      </w:r>
    </w:p>
    <w:p>
      <w:r>
        <w:t>a) Interjeté dans le délai et les formes prescrits (79 ss du code cantonal du 23 mai 1991 de procédure et de juridiction administrative; CPJA; RSF 150.1) - l'avance des frais de procédure ayant par ailleurs été versée en temps utile - le recours est recevable à la forme. La Cour de céans peut dès lors en examiner les mérites.</w:t>
      </w:r>
    </w:p>
    <w:p>
      <w:r>
        <w:t>Tribunal cantonal TC Page 3 de 7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Selon la jurisprudence, l’autorité administrative en matière de circulation routière est en principe tenue d’attendre le jugement pénal avant de rendre sa décision car, fondamentalement, il appartient d’abord au juge pénal de se prononcer sur la réalisation d’une infraction; elle est ensuite liée par le jugement pénal entré en force, à moins qu’elle soit en mesure de fonder sa décision sur des constatations de fait inconnues du juge pénal, s’il existe des preuves nouvelles dont l’appréciation conduit à un autre résultat ou si l’appréciation à laquelle s’est livré le juge pénal n’a pas élucidé toutes les questions de droit, en particulier celles qui touchent à la violation des règles de la circulation (ATF 119 Ib 158 / JdT 1994 I 676; cf. arrêt TF 6A.100/2006 du 28 mars 2007 et les références citées). En l'espèce, il est vrai que la CMA n'a pas attendu le jugement pénal pour rendre sa décision. Peu importe cependant. Force est de constater en effet que, comme le juge pénal, l'autorité administrative s'est fondée sur les faits tels qu'ils ressortent du rapport de police du 19 janvier 2016, de l'audition de l'intéressé et du dossier photographique. Pour sa part, le recourant a versé, le 20 janvier 2016 déjà, le montant de l'amende fixée par la Préfecture de la Broye et des frais de gendarmerie. Au surplus, l'ordonnance pénale a été rendue le 26 février 2016 - soit une semaine seulement après le prononcé de la décision de la CMA - et notifiée à l'adresse du recourant. Dès lors que celle-ci n'a pas été contestée, il faut ainsi considérer comme établi que le recourant a circulé à une vitesse inadaptée aux conditions de la route et qu'il a perdu la maîtrise de son véhicule, occasionnant par là-même un accident.</w:t>
      </w:r>
    </w:p>
    <w:p>
      <w:r>
        <w:rPr>
          <w:b/>
        </w:rPr>
        <w:t>E. 3</w:t>
      </w:r>
    </w:p>
    <w:p>
      <w:r>
        <w:t>a) Selon l’art. 31 al. 1 de la loi du 19 décembre 1958 sur la circulation routière (LCR, RS 741.01) le conducteur devra rester constamment maître de son véhicule de façon à pouvoir se conformer aux devoirs de la prudence. En outre, selon l’art. 32 LCR, la vitesse doit toujours être adaptée aux circonstances, notamment aux particularités du véhicule et du chargement, ainsi qu’aux conditions de la route, de la circulation et de la visibilité.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dangers prévisibles. L’attention requise du conducteur implique que celui-ci soit en mesure de parer rapidement aux dangers qui menacent la vie, l’intégrité corporelle ou les biens matériels d’autrui (BUSSY/RUSCONI, Code suisse de la circulation routière commenté, 2015, art. 31 LCR n. 2 ss). La maîtrise de la direction fait partie de la maîtrise du véhicule au sens large. Ainsi, tout conducteur doit "tenir sa voie", c’est-à- dire ne pas dévier de la trajectoire suivie jusqu’alors sans certaines précautions (ATF 63 II 221 / JdT 1937 I 460; BUSSY/RUSCONI, art. 31 LCR n. 2.5). L'observation de la règle de l'adaptation de la vitesse aux "circonstances" est la première condition de la maîtrise du véhicule. S'il veut "pouvoir se conformer aux règles de la prudence", comme le prescrit l'art. 31 al. 1 LCR, le conducteur devra en effet, avant tout, adapter sa vitesse, pour qu'elle ne constitue ni une cause d'accident ni une gêne excessive pour la circulation. Il n'existe pas de vitesse "adaptée en soi" ni de vitesse "excessive" en soi. C'est la prudence commandée par les circonstances qui constitue le cadre de l'adaptation de la vitesse. Il s'agit là d'une notion concrète</w:t>
      </w:r>
    </w:p>
    <w:p>
      <w:r>
        <w:t>Tribunal cantonal TC Page 4 de 7 et il faut tenir compte de l'ensemble des circonstances (BUSSY/RUSCONI, art. 32 LCR n. 1.1). On considère que la vitesse est adaptée lorsqu’elle permet, compte tenu des circonstances, de ralentir au bon moment, voire d’arrêter, le véhicule afin de ne pas entraver ni de mettre en danger ceux qui utilisent la chaussée conformément aux règles établies (BUSSY/RUSCONI, art. 32 LCR n. 1.2). b) En l'espèce, le recourant a perdu la maîtrise de son véhicule sur une route partiellement enneigée, dans une légère courbe à gauche, et a fini sa course en contrebas, dans le creux d'un ruisseau. Il est incontestable que cette perte de maîtrise, sur une route enneigée, résulte d'une vitesse inadaptée aux conditions de la route. La violation des dispositions précitées, manifeste, devait entraîner le prononcé d'une mesure administrative.</w:t>
      </w:r>
    </w:p>
    <w:p>
      <w:r>
        <w:rPr>
          <w:b/>
        </w:rPr>
        <w:t>E. 4</w:t>
      </w:r>
    </w:p>
    <w:p>
      <w:r>
        <w:t>a)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de conduire que s’il s’agit d’un cas de très peu de gravité ou de peu de gravité au sens de l’art. 16a LCR, ce qui doit être déterminé au regard de l’importance de la gravité de la faute et de la mise en danger de la sécurité. On ne tient en revanche compte des antécédents du conducteur, de la nécessité professionnelle ou d’autres besoins particuliers de conduire qu’au moment de la fixation de la durée du retrait, et non pour le choix de la mesure à prendre (arrêt TF 6A.37/2003 du</w:t>
      </w:r>
    </w:p>
    <w:p>
      <w:r>
        <w:rPr>
          <w:b/>
        </w:rPr>
        <w:t>E. 5</w:t>
      </w:r>
    </w:p>
    <w:p>
      <w:r>
        <w:t>a) Selon l’art. 16b al. 2 let. b LCR, après une infraction moyennement grave, le permis d’élève conducteur ou le permis de conduire est retiré: pour quatre mois au minimum si, au cours des deux années précédentes, le permis a été retiré une fois en raison d'une infraction grave ou moyennement grave. Parallèlement, l'usage d'un permis étranger peut être interdit en vertu des dispositions qui s'appliquent au retrait de permis de conduire suisse (art. 45 al. 1 de l'ordonnance du 27 octobre 1976 réglant l'admission des personnes et des véhicules à la circulation routière, OAC; RS 741.51). En vertu de l’art. 16 al. 3 LCR, les circonstances doivent être prises en considération pour fixer la durée du retrait du permis d’élève conducteur ou du permis de conduire - respectivement l'interdiction de conduire -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31 mars 1999, FF 1999 p. 4131; ATF 132 II 234 consid. 2.3). b) En l’espèce, le recourant, détenteur d'un permis de conduire étranger, a déjà fait l’objet d’une interdiction de faire usage de son permis pour faute moyennement grave pour la durée d'un mois, par décision du 23 juillet 2015, mesure qu'il a exécutée jusqu'au 17 janvier 2016. La nouvelle infraction, commise deux jours seulement après la restitution de son droit de conduire en Suisse devait entraîner le prononcé d'une mesure fondée sur l’art. 16b al. 2 let. b LCR. En fixant celle-ci à quatre mois, la CMA s'en est tenue à la durée légale minimale. Cette durée ne peut être réduite, pour quelque raison que ce soit (cf. art. 16 al. 3, dernière phrase, LCR; cf. ATF 132 II 234).</w:t>
      </w:r>
    </w:p>
    <w:p>
      <w:r>
        <w:rPr>
          <w:b/>
        </w:rPr>
        <w:t>E. 6</w:t>
      </w:r>
    </w:p>
    <w:p>
      <w:r>
        <w:t>a) Pour l’ensemble des motifs qui précèdent, il faut constater que la CMA n’a pas violé la loi, ni commis un abus ou un excès de son pouvoir d’appréciation en prononçant à l'endroit du recourant une interdiction de conduire pour la durée de quatre mois. Sa décision doit dès lors être confirmée et le recours rejeté.</w:t>
      </w:r>
    </w:p>
    <w:p>
      <w:r>
        <w:t>Tribunal cantonal TC Page 7 de 7 b) Vu l'issue du recours, les frais de procédure doivent être mis à la charge du recourant qui succombe (art. 131 CPJA). c) Pour le même motif, il n'est pas alloué d’indemnité de partie (art. 137 CPJA). la Cour arrête: I. Le recours est rejeté. Partant, la décision de la CMA du 18 février 2016 est confirmée. II. Les frais de procédure, par CHF 600.-, sont mis à la charge du recourant. Ils sont prélevés sur l'avance de frais versée, le solde - soit la somme de CHF 200.- - étant restitué au recourant.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29 janvier 2018/mju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