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2016 36 vom 15. April 2016</w:t>
      </w:r>
    </w:p>
    <w:p>
      <w:r>
        <w:t>FR Kantonsgericht, 2016-04-15, FR</w:t>
      </w:r>
    </w:p>
    <w:p>
      <w:r>
        <w:rPr>
          <w:b/>
        </w:rPr>
        <w:t xml:space="preserve">Quelle: </w:t>
      </w:r>
      <w:r>
        <w:t>https://mcp.opencaselaw.ch/entscheid/fr_gerichte_603_2016_36</w:t>
      </w:r>
    </w:p>
    <w:p>
      <w:r>
        <w:t>FR: FR_GERICHTE 603 2016 36 du 15 avril 2016</w:t>
      </w:r>
    </w:p>
    <w:p>
      <w:r>
        <w:t>IT: FR_GERICHTE 603 2016 36 del 15 aprile 2016</w:t>
      </w:r>
    </w:p>
    <w:p>
      <w:pPr>
        <w:pStyle w:val="Heading2"/>
      </w:pPr>
      <w:r>
        <w:t>Regeste</w:t>
      </w:r>
    </w:p>
    <w:p>
      <w:r>
        <w:t>Arrêt de la IIIe Cour administrative du Tribunal cantonal | Strassenverkehr und Transportwesen</w:t>
      </w:r>
    </w:p>
    <w:p>
      <w:pPr>
        <w:pStyle w:val="Heading2"/>
      </w:pPr>
      <w:r>
        <w:t>Erwägungen</w:t>
      </w:r>
    </w:p>
    <w:p>
      <w:r>
        <w:rPr>
          <w:b/>
        </w:rPr>
        <w:t>E. 21</w:t>
      </w:r>
    </w:p>
    <w:p>
      <w:r>
        <w:t>janvier 2016, en concluant, sous suite de frais et dépens, à l’octroi de l’effet suspensif, à l’annulation de la décision attaquée et, principalement, à ce qu’une nouvelle décision soit rendue, subsidiairement, à ce que le dossier soit renvoyé à la CMA pour nouvelle décision dans le sens des considérants. A l’appui de ses conclusions, il relève qu’en retenant une infraction grave, l’autorité intimée s’est rendue coupable d’une violation des art. 16b et 16c LCR et qu’elle n’a pas non plus tenu compte de la qualification de la faute faite par le Juge pénal. Il précise qu’il a fondamentalement adopté un comportement routier juste, que, subjectivement, la faute n’était pas grave et qu’il n’a pas mis en danger la sécurité d’autrui. Ainsi, il considère qu’il n’a pas cumulé faute grave et mise en danger grave. Il relève, en outre, que la CMA s’est écartée des faits retenus au pénal en qualifiant la faute de grave. Le recourant fait également grief d’une violation de l’art. 16c LCR, dans la mesure où l’autorité intimée a retenu un antécédent de faute grave alors que le retrait de permis en question n’avait été que d’un mois et que le minimum légal était, à l’époque déjà, de trois mois. Un retrait d’un mois correspond à une faute moyennement grave et, partant, le recourant invoque un abus du pouvoir</w:t>
      </w:r>
    </w:p>
    <w:p>
      <w:r>
        <w:t>Tribunal cantonal TC Page 4 de 9 d’appréciation de la CMA. Il considère ainsi que la faute commise en 2015 doit être qualifiée de moyennement grave. Enfin, le recourant relève sa nécessité professionnelle de conduire un véhicule. Travaillant en tant que consultant indépendant, il est très souvent amené à effectuer des trajets en voiture. Un retrait de permis aurait pour lui des conséquences catastrophiques sur sa vie professionnelle, puisqu’il ne pourrait plus se déplacer chez ses clients, son mandat principal risquant même d’être résilié. Partant, il considère qu’un retrait de permis de douze mois est manifestement disproportionné. G. Dans ses observations du 10 mars 2016, la CMA a conclu au rejet du recours, en se référant à sa décision ainsi qu’aux autres pièces du dossier. Aucun autre échange d'écritures n'a été ordonné entre parties. Il sera fait état des arguments, développés à l'appui de leurs conclusions, dans les considérants de droit du présent arrêt, pour autant que cela soit utile à la solution du litige. en droit 1. a) Déposé dans le délai et les formes prescrits (art. 79 ss du code cantonal du 23 mai 1991 de procédure et de juridiction administrative, CPJA; RSF 150.1) – l’avance de frais ayant en outre été versée en temps utile – le recours est recevable à la forme. Le Tribunal cantonal peut donc en examiner les mérites. b)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a) Selon la doctrine et la jurisprudence,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4e éd., 1991, no 38). S’agissant de questions purement juridiques, comme celle de la gravité de la faute, l’autorité administrative n’est pas liée par l’appréciation du juge pénal (cf. ATF 124 II consid. 3c/aa; 115 Ib 163 consid. 2a; arrêts TC FR 3A 06 84 du 2 novembre 2006 consid. 4d; 3A 06 144 du 23 janvier 2007 consid. 6a), car elle risquerait, sans cela, d’être entravée dans sa liberté d’appréciation. En effet, le but différent des sanctions pénale et administrative implique que les mêmes concepts puissent faire l’objet d’une interprétation différente. Ainsi, les conditions objectives du retrait de permis et sa sanction pénale ne se superposent pas: les art. 16 ss LCR s’appuient sur la mise en danger objective de la circulation. La sanction en est une mesure d’admonestation ou de sécurité. En revanche, les</w:t>
      </w:r>
    </w:p>
    <w:p>
      <w:r>
        <w:t>Tribunal cantonal TC Page 5 de 9 dispositions pénales des art. 90 et 91 LCR mettent l’accent sur la faute du conducteur et exigent une appréciation du point de vue subjectif (RJN 1990 p. 203 consid. 2a; cf. ég. ATF 103 Ib 106). b) En l’occurrence, l’autorité pénale compétente a retenu que le recourant avait perdu la maîtrise de son véhicule suite à un assoupissement. Non contesté, ce jugement est entré en force. Pour sa part, l’autorité intimée a fondé sa décision sur le même état de fait. Quant au recourant, il admet qu’il s’est assoupi au volant de son véhicule et que, de ce fait, il en a perdu la maîtrise. Autrement dit, les faits de la cause ne sont pas contestés et doivent être considérés comme établis. 3. a) En vertu de l’art. 31 al. 1 LCR, le conducteur devra rester constamment maître de son véhicule de façon à pouvoir se conformer aux devoirs de la prudence (al. 1);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(al. 2). Le conducteur doit ainsi porter à la route et au trafic toute l’attention possible, le degré de cette attention devant être apprécié au regard de toutes les circonstances, telles que la densité du trafic, la configuration des lieux, l’heure, la visibilité et les sources de dangers prévisibles. L’attention requise du conducteur implique que celui-ci soit en mesure de parer rapidement aux dangers qui menacent la vie, l’intégrité corporelle ou les biens matériels d’autrui (BUSSY/RUSCONI, Code suisse de la circulation routière commentée, 4e éd. 2015, art. 31 LCR n. 2 ss). L’interdiction de prendre le volant résultant de l’art. 31 al. 2 LCR s’applique tant à celui qui est momentanément fatigué ou somnolent qu’à celui qui se trouve sous l’effet passager d’un médicament ou d’une drogue (BUSSY/RUSCONI, art. 31 LCR n. 2.2.4). b) En l’espèce, au vu des faits établis, il faut constater que le recourant a violé les dispositions légales précitées. Partant, la CMA se devait de prononcer une mesure administrative. 4. a) Conformément à l’art. 16a al. 1 let. a LCR, commet une infraction légère la personne qui, en violant les règles de la circulation, met légèrement en danger la sécurité d’autrui et à laquelle seule une faute bénigne peut être imputée. En cas d’infraction particulièrement légère, il est renoncé à toute mesure administrative (al. 4). Dans les autres cas, un avertissement peut être prononcé si les conditions de l’al. 3 sont réalisées. Selon l’art. 16b al. 1 let. a LCR, commet une infraction moyennement grave la personne qui, en violant les règles de la circulation, crée un danger pour la sécurité d’autrui ou en prend le risque. Enfin, commet une infraction grave selon l’art. 16c al. 1 let. a LCR, la personne qui, en violant gravement les règles de la circulation, met sérieusement en danger la sécurité d’autrui ou en prend le risque.</w:t>
      </w:r>
    </w:p>
    <w:p>
      <w:r>
        <w:t>Tribunal cantonal TC Page 6 de 9 Ainsi, la loi fait la distinction entre: - le cas de très peu de gravité (art. 16a al. 4 LCR); - le cas de peu de gravité (art. 16a al. 1 LCR); - le cas de gravité moyenne (art. 16b al. 1 LCR); - le cas grave (art. 16c al. 1 LCR). b)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(art. 16a al. 3 LCR; ATF 124 II 259 consid. 2b/aa et les arrêts cités). Il ne saurait en revanche être question de tenir compte des besoins professionnels de l’intéressé, ceux-ci ne jouant un rôle que lorsqu’il s’agit de mesurer la durée du retrait.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(Message du Conseil fédéral concernant la modification de la LCR du 31 mars 1999, FF 1999 IV 4133; ATF 136 II 447 consid. 3.2; arrêt TF 6A.16/2006 du 28 mars 2007 et les références citées). Pour déterminer si le cas est de peu de gravité ou de gravité moyenne, l’autorité doit tenir compte de la gravité de la faute commise et de la réputation du contrevenant en tant que conducteur; la gravité de la mise en danger du trafic n’est prise en considération que dans la mesure où elle est significative pour la faute (ATF 126 II 202 consid. 1). Trois critères permettent de distinguer le cas de peu de gravité de celui de gravité moyenne: la faute, la mise en danger du trafic (dans la mesure où elle est significative pour la faute) et les antécédents, étant précisé que même de bons antécédents ne permettent pas de retenir un cas de peu de gravité lorsque la faute est moyenne ou grave (ATF 125 II 561). c) Selon la jurisprudence (voir arrêts TF 6A.84/2006 et 6A.87/2006 du 27 décembre 2006 consid. 3.2 et la référence citée), le fait de s’assoupir au volant constitue en règle générale une faute grave. On peut en effet exclure que l’assoupissement du conducteur dont l’aptitude à conduire n’est pas réduite par d’autres facteurs, ait pu survenir sans être précédé de l’un ou l’autre des signes avant-coureurs de la fatigue reconnaissables par l’intéressé. Ces symptômes touchent notamment les yeux et la vue (paupières lourdes, troubles de la vue, irritation, difficultés à focaliser de manière convergente avec strabisme momentané et formation d’images doubles, etc.), l’état psychique (idées vagabondes, somnolence, « hypnose de l’autoroute », indifférence, manque de volonté, anxiété, sursauts, absences les yeux ouverts), l’attitude corporelle générale (bâillements, sécheresse buccale et soif, effroi accompagné de sudation, perte inopinée du tonus musculaire) et la conduite (ralentissement des réactions, manœuvres sèches de l’embrayage et brusque des freins, passage des vitesses moins fréquents, louvoiement et perte de la sensation de vitesse).</w:t>
      </w:r>
    </w:p>
    <w:p>
      <w:r>
        <w:t>Tribunal cantonal TC Page 7 de 9 La gravité de la faute reprochée au conducteur qui s’est endormi au volant tient à ce qu’il a poursuivi sa route malgré la nécessaire apparition des signaux d’alerte physiques et psychiques annonciateurs de l’assoupissement. Or, le fait d’avoir effectué des pauses régulières, une sieste le cas échéant, ou encore d’avoir bu du café doit certes endiguer, voire supprimer la fatigue. Il n’en demeure pas moins, dans la règle, que lorsque le conducteur s’est, en définitive, endormi malgré les précautions prises, son assoupissement n’a pu qu’être précédé des signes avant-coureurs du sommeil reconnaissables par l’intéressé. Aussi, lorsque le conducteur qui a pris de telles mesures s’endort au volant, on ne peut que constater que les mesures prises concrètement n’étaient pas suffisantes pour endiguer la fatigue, empêcher l’apparition des signes avant-coureurs de l’assoupissement et permettre la poursuite sans risque du trajet. Il s’ensuit que la faute du conducteur qui poursuit sa route dans ces conditions demeure grave malgré les précautions prises qui peuvent, au demeurant, être exigées de tous les conducteurs qui effectuent de longs trajets. Par ailleurs, les précautions prises demeurent sans incidence sur l’appréciation de la gravité de la mise en danger du trafic, qui résulte de la perte totale de la maîtrise du véhicule après l’assoupissement (arrêts TF 6A.84/2006 et 6A.87/2006 précité). Par ailleurs, le fait que, durant la phase d’assoupissement le véhicule poursuive sa trajectoire de manière non maîtrisée, au risque d’entrer en collision avec un obstacle ou un autre véhicule constitue, manifestement une mise en danger abstraite accrue de la sécurité. d) En l’espèce, les éléments au dossier ne permettent pas de retenir que l’assoupissement du recourant n’a pas été précédé de signes annonciateurs. D’une part, celui-ci n’a pas établi qu’il souffrait d’une maladie ou d’un malaise soudain qui auraient conduit à un brusque endormissement. D’autre part, il faut surtout constater que le recourant, s’étant levé à 6h du matin, le 21 juin 2015, a admis avoir eu une longue journée. Il n’a en effet fait, selon ses dires, qu’une petite sieste entre 16h et 16h40, avant de prendre la route et, au moment de l’accident vers 02h15, il était réveillé depuis plus de 20h. De plus, ayant en partie participé à une compétition de natation le matin, on doit considérer que l’activité déployée durant la journée par le recourant était de nature à provoquer un état de grande fatigue. Il faut dès lors en déduire qu’il a nécessairement dû ressentir des signaux d’alerte avant de s’assoupir et que, ce nonobstant, il a poursuivi son trajet sur l’autoroute, où le danger est pourtant plus grand de s’endormir dans la mesure où la conduite est plus monotone. Le fait que, comme l’allègue le recourant, il n’était pas sous l’influence de médicaments, de drogues ou d’alcool et qu’il était en parfaite santé est dénué de pertinence. Rien ne justifie par conséquent de s’écarter des principes exprimés par la jurisprudence précitée. Aussi, c’est à bon droit que l’autorité intimée a qualifié de grave la faute commise, au sens de l’art. 16c al. 1 let. c LCR. e) Il est vrai que le Juge pénal n’a retenu qu’une infraction simple aux règles de la circulation routière, en faisant application de l’art. 90 al. 1 LCR. Il convient toutefois de rappeler que, pour de pures questions de droit, dont fait partie l’appréciation de la gravité d’un cas, les autorités administratives ne sont pas liées par la qualification du Juge pénal (cf. consid. 2a ci- avant). 5. a) Selon l’art. 16c al. 2 let. c LCR, après une infraction grave, le permis d’élève conducteur ou le permis de conduire est retiré: pour douze mois au minimum si, au cours des cinq années précédentes, le permis a été retiré une fois en raison d’une infraction grave ou à deux reprises en raison d’infractions moyennement graves.</w:t>
      </w:r>
    </w:p>
    <w:p>
      <w:r>
        <w:t>Tribunal cantonal TC Page 8 de 9 En vertu de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p. 4131; ATF 132 II 234 consid. 2.3). b) En l’espèce, le recourant a déjà fait l’objet d’un retrait de permis pour faute grave, par décision du 7 mars 2013. Le retrait n’a cependant été que d’un mois puisqu’il se rapportait à une infraction commise à l’étranger, qualifiée de grave en Suisse. En effet, selon l’art. 16cbis al. 2 LCR, lorsque le conducteur n’a pas d’antécédent, et qu’il ne figure donc en principe pas dans le registre automatisé des mesures administratives (ADMAS), la durée du retrait suisse ne pourra pas dépasser celle qui a été prononcée à l’étranger (al. 2, 3e phrase). Cela étant, c’est bien la qualification moyennement grave ou grave qui sera inscrite sur le registre (BUSSY/RUSCONI, art. 16cbis LCR n. 4). De plus, une future infraction commise en Suisse tiendra compte de l’antécédent constitué par un retrait de permis consécutif à une infraction commise à l’étranger (arrêt TF 6A.51/2003 du 15 octobre 2003 consid. 5). Ayant été interdit de conduite en France pendant un mois et n’ayant pas d’antécédent à l’époque, le recourant n’a eu qu’un seul mois de retrait de permis pour une infraction grave, conformément à l’art. 16cbis LCR. Au regard de son antécédent et de la nouvelle faute grave commise, il faut constater que la CMA s’en est tenue à la durée minimale prévue par l’art. 16c al. 2 let. c LCR en retirant le permis de conduire du recourant pour douze mois. Vu l’art. 16 al. 3, dernière phrase, LCR, cette durée ne peut être réduite, pour quelque raison que ce soit (cf. ATF 132 II 234). Par ailleurs, la question de la nécessité professionnelle peut demeurer ouverte, dès lors qu’elle ne peut de toute manière pas conduire à une réduction de la durée de retrait prononcée par la CMA qui s’en est tenue au minimum légal. 6. a) Pour l’ensemble des motifs qui précèdent, il faut constater que la CMA n’a pas violé la loi, ni commis un abus ou un excès de son pouvoir d’appréciation en prononçant le retrait du permis de conduire du recourant. Sa décision doit dès lors être confirmée et le recours rejeté. b) Vu l’issue du recours, les frais de procédure doivent être mis à la charge du recourant qui succombe, conformément aux art. 131 CPJA et 1 et 2 du Tarif des frais de procédure et des indemnités en matière de juridiction administrative (RSF 150.12). Pour la même raison, il n’est pas alloué d’indemnité de partie (art. 137 CPJA).</w:t>
      </w:r>
    </w:p>
    <w:p>
      <w:r>
        <w:t>Tribunal cantonal TC Page 9 de 9 la Cour arrête: I. Le recours est rejeté. II. Les frais de procédure, par CHF 600.-, sont mis à la charge du recourant. Ils sont compensés par l’avance de frais versée. III. Il n’est pas alloué d’indemnité de partie. IV.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15 avril 2016/ape/sto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