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24 vom 15. April 2016</w:t>
      </w:r>
    </w:p>
    <w:p>
      <w:r>
        <w:t>FR Kantonsgericht, 2016-04-15, FR</w:t>
      </w:r>
    </w:p>
    <w:p>
      <w:r>
        <w:rPr>
          <w:b/>
        </w:rPr>
        <w:t xml:space="preserve">Quelle: </w:t>
      </w:r>
      <w:r>
        <w:t>https://mcp.opencaselaw.ch/entscheid/fr_gerichte_603_2016_24</w:t>
      </w:r>
    </w:p>
    <w:p>
      <w:r>
        <w:t>FR: FR_GERICHTE 603 2016 24 du 15 avril 2016</w:t>
      </w:r>
    </w:p>
    <w:p>
      <w:r>
        <w:t>IT: FR_GERICHTE 603 2016 24 del 15 aprile 2016</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ss du code fribourgeois du 23 mai 1991 de procédure et de juridiction administrative; CPJA; RSF 150.1) - l'avance des frais de procédure ayant en outre été versée en temps utile - le recours est recevable à la forme. Partant, le Tribunal cantonal peut entrer en matière sur les mérites du recours.</w:t>
      </w:r>
    </w:p>
    <w:p>
      <w:r>
        <w:rPr>
          <w:b/>
        </w:rPr>
        <w:t>E. 2</w:t>
      </w:r>
    </w:p>
    <w:p>
      <w:r>
        <w:t>a) 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4e éd., 1991, no 38). S’agissant de questions purement juridiques, comme celle de la gravité de la faute, l’autorité administrative n’est pas liée par l’appréciation du juge pénal (cf. ATF 124 II consid. 3c/aa; 115 Ib 163 consid. 2a; arrêts TC FR 3A 06 84 du 2 novembre 2006 consid. 4d; 3A 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arrêt TC FR 603 2015 174 du 24 novembre 2015).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w:t>
      </w:r>
    </w:p>
    <w:p>
      <w:r>
        <w:t>Tribunal cantonal TC Page 4 de 8 de la procédure pénale, le cas échéant en épuisant les voies de recours à sa disposition. Elle ne peut pas attendre la procédure administrative pour exposer ses arguments (ATF 123 II 97 consid. 3c/aa; 121 II 214 consid. 3a; arrêt TF 6A.82/2006 du 27 décembre 2006). b) En l'occurrence, le recourant a été condamné pénalement pour les faits suivants: "Circulation au volant du véhicule (…) accélérant fortement en poussant le régime moteur au-delà du raisonnable, tout en utilisant un rapport de vitesse inférieur à la norme, provoquant une pollution sonore aussi excessive qu'inutile. De plus, conduite à une vitesse inadaptée en pleine ville et miroir faisant défaut sur le rétroviseur gauche." Le recourant s'est déjà vu retirer son permis de conduire par le passé, par décision de la CMA du 30 octobre 2014. Dès lors qu'il a été sanctionné par une ordonnance pénale pour les faits qui se sont déroulés le 15 novembre 2015, il ne pouvait pas ignorer qu'il risquait également un retrait de son permis de conduire et que, partant, il devait faire valoir ses moyens dans le cadre de la procédure pénale. En outre, ayant été avisé de l'ouverture de la procédure administrative par la CMA par courrier du 30 décembre 2015, le recourant a effectivement eu connaissance du fait qu'il aurait à répondre de ses actes devant l'autorité administrative avant la fin du délai pour former opposition à l'ordonnance pénale. Or, il n'a pas contesté le jugement pénal du 28 décembre 2015, lequel est donc entré en force. Dans son recours, l'intéressé n'invoque aucun élément nouveau et pertinent qu'il n'aurait pas pu faire valoir dans le cadre d'une opposition à l'ordonnance pénale. Dans ces circonstances, il y a lieu de considérer les faits comme établis. Partant, il faut constater que le recourant a fortement accéléré en poussant le régime moteur au-delà du raisonnable – tout en utilisant un rapport de vitesse inférieur à la norme, provoquant ainsi une pollution sonore excessive et inutile –, circulé à une vitesse inadaptée en pleine ville et conduit un véhicule dont le miroir faisait défaut sur le rétroviseur gauche.</w:t>
      </w:r>
    </w:p>
    <w:p>
      <w:r>
        <w:rPr>
          <w:b/>
        </w:rPr>
        <w:t>E. 3</w:t>
      </w:r>
    </w:p>
    <w:p>
      <w:r>
        <w:t>a) L'art. 26 al. 1 LCR prévoit que chacun doit se comporter, dans la circulation, de manière à ne pas gêner ni mettre en danger ceux qui utilisent la route conformément aux règles établies. Selon le prescrit de l'art. 29 LCR, les véhicules ne peuvent circuler que s'ils sont en parfait état de fonctionnement et répondent aux prescriptions. Ils doivent notamment être entretenus de manière à ce que les règles de la circulation puissent être observées et que le conducteur, les passagers et les autres usagers de la route ne soient pas mis en danger. L’art. 57 de l'ordonnance du 13 novembre 1962 sur les règles de la circulation routière (OCR; RS 741.11) précise que le conducteur s’assurera que le véhicule et son chargement répondent aux prescriptions et qu'il dispose des accessoires nécessaires tels que le signal de panne (al. 1). Les plaques de contrôle, les disques de vitesse maximale et les autres signes semblables doivent être bien lisibles; les dispositifs d’éclairage, les catadioptres, les glaces et les miroirs rétroviseurs doivent être propres (al. 2, 1ère phrase). Lorsque des défectuosités peu graves apparaissent en cours de route, le conducteur pourra poursuivre sa course en prenant les précautions nécessaires; les réparations seront effectuées sans retard (al. 3). En application de l’art. 112 OETV, les voitures automobiles doivent être munies, à gauche et à droite, extérieurement, d’un rétroviseur permettant au conducteur d’observer facilement la chaussée sur les côtés de la carrosserie et sur une distance de 100 m au minimum vers l’arrière. On précisera que toutes les glaces nécessaires à la visibilité du conducteur doivent être parfaitement transparentes (art. 71a al. 4 OETV), ce qui implique forcément qu’elles soient placées à l'endroit prévu. En outre, aux termes de l’art. 32 al. 1 LCR, la vitesse doit toujours être adaptée aux circonstances, notamment aux particularités du véhicule et du chargement, ainsi qu'aux conditions de la route, de</w:t>
      </w:r>
    </w:p>
    <w:p>
      <w:r>
        <w:t>Tribunal cantonal TC Page 5 de 8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Enfin, selon l'art. 42 al. 1 LCR, le conducteur doit veiller à ne pas incommoder les usagers de la route et les riverains, notamment en provoquant du bruit, de la poussière, de la fumée ou des odeurs qu’il peut éviter; il devra veiller le plus possible à ne pas effrayer les animaux. L'art. 33 OCR précise que les conducteurs, les passagers et les auxiliaires ne causeront aucun bruit pouvant être évité, notamment dans les quartiers habités, près des lieux de repos et pendant la nuit. Il est interdit avant tout, en particulier, de faire tourner à vide le moteur à un régime élevé, de circuler à un régime élevé en petite vitesse (let. b) et d’accélérer trop rapidement, notamment au démarrage (let. c). b) Au vu de l'état de fait retenu, la violation des dispositions légales précitées est établie. Une mesure administrative devait dès lors être prononcée. Il convient ainsi d'examiner si la constatation d'une infraction légère, avec pour conséquence une annulation du permis de conduire à l'essai, était justifiée.</w:t>
      </w:r>
    </w:p>
    <w:p>
      <w:r>
        <w:rPr>
          <w:b/>
        </w:rPr>
        <w:t>E. 4</w:t>
      </w:r>
    </w:p>
    <w:p>
      <w:r>
        <w:t>a)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il peut être renoncé au retrait du permis du conducteur fautif au profit d'un avertissement seulement si, au cours des deux dernières années, le permis ne lui a pas été retiré et qu'aucune autre mesure administrative n'a été prononcée (art. 16a al. 2 et 3 LCR).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Ainsi, la loi fait la distinction entre: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w:t>
      </w:r>
    </w:p>
    <w:p>
      <w:r>
        <w:t>Tribunal cantonal TC Page 6 de 8 saurait en revanche être question de tenir compte des besoins professionnels de l'intéressé, ceux- ci ne jouant un rôle que lorsqu'il s'agit de mesurer la durée du retrait. D'une manière générale,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par exemple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Selon la jurisprudence, les conditions auxquelles un cas d'infraction particulièrement légère peut être admis découlent de la définition de l'infraction légère au sens de l'art. 16a al. 1 LCR. Le cas d'infraction particulièrement légère est dès lors réalisé si la violation des règles de la circulation routière n'a entraîné qu'une mise en danger particulièrement légère de la sécurité d'autrui et que seule une faute particulièrement bénigne peut être reprochée au conducteur fautif (arrêt TF 6A.52/2005 du 2 décembre 2005 consid. 2.2). b) En l'occurrence, il ne saurait être question de considérer que l'infraction commise était particulièrement légère au point de justifier de renoncer à toute mesure administrative, en application de l'art. 16a al. 4 LCR. En effet, on doit constater que le recourant a, d'une part, fortement accéléré – en poussant le régime moteur au-delà du raisonnable, tout en utilisant un rapport de vitesse inférieur à la norme, provoquant une pollution sonore excessive et inutile – et, d'autre part, circulé au volant d'un véhicule à une vitesse inadaptée en pleine ville. Ce faisant, il a volontairement adopté une manière de conduire dont le caractère potentiellement dangereux ne pouvait pas lui échapper. A l'évidence, un tel comportement est propre à provoquer une situation d'insécurité et justifie dès lors de retenir l'existence d'une mise en danger abstraite de la circulation. A cela s'ajoute que le miroir du rétroviseur gauche faisait défaut, de sorte que le véhicule ne respectait pas les prescriptions légales. Ainsi, par son comportement, le recourant a enfreint plusieurs règles de la circulation routière, ce qui augmente en soi la gravité de la faute commise. Enfin, sont également déterminants les antécédents du précité qui ne sont pas bons; il a été sanctionné à deux reprises pour des fautes moyennement graves en 2009 et 2014. Au demeurant, du moment que le recourant a accepté sa condamnation au niveau pénal, il a également reconnu avoir circulé à une vitesse inadaptée en ville, fortement accéléré en poussant le régime moteur au-delà du raisonnable – tout en utilisant un rapport de vitesse inférieur à la norme, provoquant ainsi une pollution sonore excessive et inutile – et conduit un véhicule dont le miroir faisait défaut sur le rétroviseur gauche. Ces faits – qui ne peuvent plus être contestés – suffisent pour écarter l'application de l'art. 16a al. 4 LCR. A cela s'ajoute que le juge pénal n'a pas non plus retenu une infraction de peu de gravité au sens de l'art. 100 al. 1 2e phr. LCR.</w:t>
      </w:r>
    </w:p>
    <w:p>
      <w:r>
        <w:t>Tribunal cantonal TC Page 7 de 8 Au vu de ce qui précède, en estimant que la faute commise devait être considérée comme légère, l'autorité intimée n'a manifestement pas violé la loi ni commis un excès ou un abus de son pouvoir d'appréciation.</w:t>
      </w:r>
    </w:p>
    <w:p>
      <w:r>
        <w:rPr>
          <w:b/>
        </w:rPr>
        <w:t>E. 5</w:t>
      </w:r>
    </w:p>
    <w:p>
      <w:r>
        <w:t>A teneur de l'art. 16a al. 2 LCR, après une infraction légère, le permis d'élève conducteur ou le permis de conduire est retiré pour un mois au moins au conducteur qui a fait l'objet d'un retrait de permis ou d'une autre mesure administrative au cours des deux années précédentes. En l'occurrence, le dernier retrait de permis de deux mois pour faute moyennement grave (excès de vitesse) ayant été exécuté jusqu’au 12 mars 2015, la sanction prévue par la loi devrait être un retrait de permis. Or, le recourant était titulaire d’un permis à l’essai. Selon l’art. 15a al. 4 LCR, le permis de conduire à l'essai est caduc lorsque son titulaire commet une seconde infraction entraînant un retrait. Par conséquent, c'est à bon droit que l'autorité intimée a prononcé, pour sanctionner la nouvelle faute commise, l’annulation du permis de conduire à l'essai. En outre, en application de l’art. 15a al. 5 LCR, la CMA a à juste titre retenu qu’un nouveau permis d'élève conducteur ne pourrait être délivré au recourant qu'au plus tôt un an après la date de l'infraction commise et uniquement sur la base d’une expertise psychologique attestant son aptitude à conduire.</w:t>
      </w:r>
    </w:p>
    <w:p>
      <w:r>
        <w:rPr>
          <w:b/>
        </w:rPr>
        <w:t>E. 6</w:t>
      </w:r>
    </w:p>
    <w:p>
      <w:r>
        <w:t>a) Pour l'ensemble des motifs qui précèdent, la décision de la CMA, conforme aux principes de la légalité et de la proportionnalité, échappe à la critique et doit être confirmée. Partant, le recours doit être rejeté. L'affaire étant jugée au fond, la demande d'octroi de l'effet suspensif (603 2016 37) devient sans objet. b) Le recourant ayant succombé, les frais de procédure sont mis à sa charge conformément à l'art. 131 CPJA. la Cour arrête: I. Le recours est rejeté. Partant, la décision de la CMA du 21 janvier 2016 est confirmée. II. Les frais de procédure, par CHF 600.-, sont mis à la charge du recourant. Ils sont compensés par l'avance de frais du même montant. III. Communication. Cette décision peut faire l'objet d'un recours auprès du Tribunal fédéral, à Lausanne, dans les 30 jours dès sa notification.</w:t>
      </w:r>
    </w:p>
    <w:p>
      <w:r>
        <w:t>Tribunal cantonal TC Page 8 de 8 La fixation du montant des frais de procédure peut, dans un délai de 30 jours, faire l'objet d'une réclamation auprès de l'autorité qui a statué, lorsque seule cette partie de la décision est contestée (art. 148 CPJA). Fribourg, le 15 avril 2016/JFR/vth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