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227 vom 8. Mai 2017</w:t>
      </w:r>
    </w:p>
    <w:p>
      <w:r>
        <w:t>FR Kantonsgericht, 2017-05-08, FR</w:t>
      </w:r>
    </w:p>
    <w:p>
      <w:r>
        <w:rPr>
          <w:b/>
        </w:rPr>
        <w:t xml:space="preserve">Quelle: </w:t>
      </w:r>
      <w:r>
        <w:t>https://mcp.opencaselaw.ch/entscheid/fr_gerichte_603_2016_227</w:t>
      </w:r>
    </w:p>
    <w:p>
      <w:r>
        <w:t>FR: FR_GERICHTE 603 2016 227 du 8 mai 2017</w:t>
      </w:r>
    </w:p>
    <w:p>
      <w:r>
        <w:t>IT: FR_GERICHTE 603 2016 227 del 8 maggio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fribourgeois du 23 mai 1991 de procédure et de juridiction administrative, CPJA; RSF 150.1) - l’avance de frais de procédure ayant par ailleurs été versée en temps utile - le recours est recevable à la forme.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en l’espèce examiner le grief d’inopportunité (art. 78 al.</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 raison du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b) En l’espèce, le préfet a retenu que le recourant avait dépassé un véhicule par la droite en circulant sur le trottoir. Non contestée, l'ordonnance pénale est entrée en force. Or, rien ne justifie de se distancier des faits retenus sur le plan pénal. Ceux-ci doivent dès lors être tenus pour établis.</w:t>
      </w:r>
    </w:p>
    <w:p>
      <w:r>
        <w:rPr>
          <w:b/>
        </w:rPr>
        <w:t>E. 3</w:t>
      </w:r>
    </w:p>
    <w:p>
      <w:r>
        <w:t>a) L’art. 35 al. 1 LCR fixe le principe selon lequel les croisements se font à droite et les dépassements à gauche. Le dépassement étant défini comme la manœuvre de l’usager qui, se déplaçant dans la même direction, en rattrape un autre circulant sur la même artère, remonte à côté de lui et poursuit sa route devant lui (BUSSY/RUSCONI, Code suisse de la circulation routière commenté, 4e éd. 2015, art. 35 LCR no 2.1). Selon l'al. 5 de cette disposition, le dépassement d'un</w:t>
      </w:r>
    </w:p>
    <w:p>
      <w:r>
        <w:t>Tribunal cantonal TC Page 4 de 8 véhicule est interdit lorsque le conducteur manifeste son intention d'obliquer à gauche ou lorsqu'il s'arrête devant un passage pour piétons afin de permettre à ceux-ci de traverser la route. L'art. 35 al. 6 prévoit que les véhicules qui se sont mis en ordre de présélection en vue d'obliquer à gauche ne pourront être dépassés que par la droite. Il s'agit d'un cas où le dépassement ne peut se faire que par la droite. Il importe, dans cette situation, que la place disponible de la voie de circulation permette le dépassement par la droite, à défaut de quoi les véhicules suiveurs sont tenus de s'arrêter et d'attendre l'achèvement de la manœuvre de présélection du véhicule les précédant (ATF 104 IV 196 consid. 3; BUSSY/RUSCONI, art. 35 LCR nos 2.5 et 2.6). b) Selon l’art. 43 al. 2 LCR, le trottoir est réservé aux piétons, sous réserves d’éventuelles exceptions prévues par le Conseil fédéral. En l'absence de définition légale du trottoir, le Tribunal fédéral a estimé qu’il fallait la déterminer en tenant compte des circonstances locales; en particulier, le fait qu’il n’y ait pas de différence de construction ou de revêtement entre des surfaces ouvertes au public ne veut pas dire qu’il ne s’agit pas d’un trottoir (cf. ATF 103 IV 265 consid. 2). c) En l’espèce, il est établi que le recourant, au guidon de sa moto, a dépassé un véhicule automobile par la droite tout en circulant sur le trottoir. Ce faisant, il a enfreint les art. 35 al. 1 et 43 al. 2 LCR précités. Manifestement, il ne se trouvait pas dans la situation prévue par l'art. 35 al. 6 LCR, puisque le véhicule qu'il a dépassé par la droite était à l'arrêt derrière un véhicule en présélection qui attendait de pouvoir obliquer à gauche. En pareilles circonstances, le dépassement par la droite était strictement interdit. A cela s'ajoute que, pour dépasser par la droite les deux véhicules, le motard a dû emprunter le trottoir, comme l'ont relevé les agents de police dans leur rapport du 8 octobre 2016, en soulignant le caractère dangereux de la manœuvre de dépassement effectuée. Les explications que donne le recourant pour relativiser la gravité des infractions commises ne sont pas convaincantes. Au demeurant, il sied de rappeler qu'il n'a pas contesté l'ordonnance pénale - laquelle se réfère expressément au rapport de police - démontrant par là-même qu'il en acceptait le bien-fondé. d) Partant, au vu des infractions commises par le recourant, le prononcé d'une mesure administrative se justifiait.</w:t>
      </w:r>
    </w:p>
    <w:p>
      <w:r>
        <w:rPr>
          <w:b/>
        </w:rPr>
        <w:t>E. 4</w:t>
      </w:r>
    </w:p>
    <w:p>
      <w:r>
        <w:t>a) 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w:t>
      </w:r>
    </w:p>
    <w:p>
      <w:r>
        <w:t>Tribunal cantonal TC Page 5 de 8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in JdT 1996 I 700 avec les références). Subjectivement, l'art. 90 al. 2 LCR exige un comportement sans scrupules ou gravement contraire aux règles de la circulation, découlant à tout le moins d'une négligence grossière (ATF 118 IV 84 consid. 2a). Il est de jurisprudence constante que l’infraction de dépassement par la droite est en principe constitutive d’une faute grave (ATF 128 II 285 consid. 1.3 s; 126 IV 192 consid. 3; 95 IV 84 consid. 3; TF, 1C_280/2012 consid. 3.3 et 6B_903/2010 consid. 3.4). L’interdiction de dépassement par la droite représente une règle fondamentale de la sécurité routière, dont la violation entraîne une mise en danger considérable de la sécurité routière, avec un risque d’accident important, et</w:t>
      </w:r>
    </w:p>
    <w:p>
      <w:r>
        <w:t>Tribunal cantonal TC Page 6 de 8 s’avère par conséquent objectivement grave (ATF 128 II 285 consid. 1.3). Cette appréciation schématique peut s’avérer parfois trop sévère, la faute pouvant cas échéant ne procéder que d’une mauvaise estimation compréhensible de la situation (ATF 128 II 285 consid. 1.4), notamment lorsque le trafic est dense et que la mise en danger créée est moindre (BUSSY/RUSCONI, art. 16c LCR no 1.3). Le Tribunal fédéral a eu l’occasion de juger que le fait pour un motocycle circulant sur une bande cyclable, de dépasser par la droite une voiture de livraison qui ralentissait pour obliquer à droite n’était pas constitutif d’une faute grave (arrêt TF 6S.62/2005 du 31 octobre 2005). De même encore, le fait de remonter par la droite, sur la bande d’arrêt d’urgence, une file de véhicules automobiles ralentissant ne procède que d’une faute moyennement grave (ATF 133 II 58 consid. 5.3 ss). b) Dans le cas d’espèce, la faute commise ne peut pas être considérée comme légère. En effet, le recourant a délibérément enfreint des règles fondamentales de la circulation routière, à savoir l'interdiction de dépasser par la droite et l'interdiction de circuler sur le trottoir avec un véhicule à moteur. A cela s'ajoute que, par ses manœuvres interdites, il a pris le risque - sérieux en l'espèce - de mettre en danger les autres usagers de la route, les piétons en particulier. A l'évidence, le fait de circuler à moto sur un trottoir à proximité d'une école - et de surcroît à une heure fréquentée par les élèves - constitue une mise en danger abstraite accrue de la circulation. Que ce risque ne se soit en l'occurrence fort heureusement pas concrétisé relève du pur cas fortuit qui ne saurait profiter au recourant. Partant, en qualifiant de moyennement grave l’infraction en cause en vertu de l’art. 16b al. 1 let. a LCR, la CMA a pris en considération dans une juste mesure la gravité de la faute commise par le recourant et la mise en danger de la sécurité routière qui en est résultée.</w:t>
      </w:r>
    </w:p>
    <w:p>
      <w:r>
        <w:rPr>
          <w:b/>
        </w:rPr>
        <w:t>E. 5</w:t>
      </w:r>
    </w:p>
    <w:p>
      <w:r>
        <w:t>a) A teneur de l'art. 16b al. 2 LCR, après une infraction moyennement grave, le permis d’élève conducteur ou le permis de conduire est retiré pour un mois au minimum (let. a). Pour fixer la durée du retrait du permis d'élève conducteur ou du permis de conduire, l'art. 16 al. 3 LCR exige que l'ensemble des circonstances soient prises en considération, notamment l'atteinte à la sécurité routière, la gravité de la faute, les antécédents en tant que conducteur ainsi que la nécessité professionnelle de conduire un véhicule automobile. La durée minimale ne peut toutefois être réduite. La règle de l'art. 16 al. 3, dernière phrase,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p. 236/237). De même, elle exclut la possibilité ouverte par la jurisprudence, sous l'ancien droit, de réduire la durée minimale du retrait du permis, voire de renoncer à toute sanction en cas de faute particulièrement peu grave (arrêts du Tribunal fédéral 6A.61/2006 du 23 novembre 2006 consid. 4.3 et 4.5 résumés in JdT 2007 I 502 et C_83/2008 du 16 octobre 2008 consid. 2.1).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w:t>
      </w:r>
    </w:p>
    <w:p>
      <w:r>
        <w:t>Tribunal cantonal TC Page 7 de 8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Par ailleurs, le besoin professionnel doit être pris en considération dans la fixation de la mesure. En effet, le retrait du permis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la gradation est au contraire continue (ATF 128 II 285 consid. 2.4; 123 II 572 consid. 2c). Cela étant, la détermination du degré de sensibilité à la sanction ne permet pas, à elle seule, de décider si et dans quelle mesure une réduction se justifie. Une telle question doit être tranchée au regard de toutes les circonstances du cas (ATF 128 II 285 consid. 2.4; 123 II 572 consid. 2c).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(arrêt TF 1C_63/2007 du 24 septembre 2007 consid. 4.4). En tout état de cause, la nécessité professionnelle n’implique pas nécessairement une limitation du retrait à la durée minimale légale (arrêt TF 1C_430/2011 du</w:t>
      </w:r>
    </w:p>
    <w:p>
      <w:r>
        <w:rPr>
          <w:b/>
        </w:rPr>
        <w:t>E. 7</w:t>
      </w:r>
    </w:p>
    <w:p>
      <w:r>
        <w:t>mars 2012 consid. 4.2). b) En l'occurrence, l'autorité intimée a fixé à deux mois la durée du retrait, s'écartant ainsi d'un mois de la durée minimale légale, telle que fixée par l'art. 16b al. 2 let. a LCR. Son appréciation échappe à la critique. D'une part en effet, au vu du cumul des infractions commises et des circonstances particulières du cas, l'infraction commise se situe à la limite de la faute grave. D'autre part, on ne saurait perdre de vue que le recourant, titulaire du permis de conduire de la catégorie "B" depuis le 11 mars 2013, est élève conducteur de la catégorie "A" depuis le 4 juillet 2016 seulement; autrement dit, il a délibérément commis, au guidon de son motocycle, les infractions qui lui sont reprochées deux mois seulement après la délivrance du permis d'élève conducteur pour cette catégorie de véhicules. Or, on est en droit d'attendre d'un élève conducteur - qui n'a pas encore prouvé qu'il maîtrise la conduite de son engin - qu'il redouble de prudence et respecte scrupuleusement les règles de la circulation routière, ce que n'a manifestement pas fait le recourant. Son comportement n'est pas acceptable et se devait d'être sanctionné avec sévérité. Par ailleurs, en tant qu'apprenti logisticien, le recourant ne peut valablement se prévaloir d'un besoin professionnel de conduire, au sens strict où l'entendent la jurisprudence et la doctrine. Durant la période de retrait, le recourant devra s'organiser pour n'avoir pas à conduire de véhicules automobiles. Quoi qu'il en soit, en commettant les infractions qui lui sont reprochées, le recourant a pris le risque non seulement de mettre en danger la circulation routière, mais également de se voir retirer le permis. Il ne peut dès lors s'en prendre qu'à lui-même s'il doit maintenant en subir les conséquences. Cela étant, force est de constater qu'il a d'ores et déjà déposé son permis de conduire, nonobstant l'effet suspensif lié à son recours, et que la mesure va être prochainement entièrement exécutée.</w:t>
      </w:r>
    </w:p>
    <w:p>
      <w:r>
        <w:t>Tribunal cantonal TC Page 8 de 8 c) Au vu des considérants qui précèdent, la Cour constate qu'en fixant à deux mois la durée du retrait du permis de conduire du recourant, l'autorité intimée a pris en compte dans une juste mesure l'ensemble des circonstances du cas. Elle a également expressément fait référence à l'art. 17 al. 1 LCR, qui permet la restitution anticipée du permis - en l'occurrence après un mois de retrait - lorsque la personne concernée a suivi un des cours d'éducation routière reconnus par l'autorité. 6. Pour l'ensemble des motifs qui précèdent, il faut constater qu’en fixant à deux mois la durée du retrait de permis et du permis d’élève conducteur de la catégorie "A" du recourant tout en lui offrant la possibilité d'une restitution anticipée en cas de suivi d'un cours d'éducation routière, la CMA n’a pas violé la loi, ni commis un quelconque excès ou abus de son pouvoir d’appréciation. Sa décision doit dès lors être confirmée et le recours rejeté. Vu l'issue du recours, les frais de procédure doivent être mis à la charge de celui-ci, conformément à l'art. 131 CPJA et aux art. 1 et 2 du Tarif cantonal du 17 décembre 1991 sur les frais de procédure et des indemnités en matière de juridiction administrative (RSF 150.12). la Cour arrête: I. Le recours est rejeté. Partant, la décision de la CMA du 7 décembre 2016 est confirmée. II. Les frais de procédure, par CHF 600.-, sont mis à la charge du recourant. Ils sont compensés avec l’avance de frais versée, le solde, soit la somme de CHF 300.-, restant dû.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mai 2017/mju/rfr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