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206 vom 25. April 2017</w:t>
      </w:r>
    </w:p>
    <w:p>
      <w:r>
        <w:t>FR Kantonsgericht, 2017-04-25, FR</w:t>
      </w:r>
    </w:p>
    <w:p>
      <w:r>
        <w:rPr>
          <w:b/>
        </w:rPr>
        <w:t xml:space="preserve">Quelle: </w:t>
      </w:r>
      <w:r>
        <w:t>https://mcp.opencaselaw.ch/entscheid/fr_gerichte_603_2016_206</w:t>
      </w:r>
    </w:p>
    <w:p>
      <w:r>
        <w:t>FR: FR_GERICHTE 603 2016 206 du 25 avril 2017</w:t>
      </w:r>
    </w:p>
    <w:p>
      <w:r>
        <w:t>IT: FR_GERICHTE 603 2016 206 del 25 aprile 2017</w:t>
      </w:r>
    </w:p>
    <w:p>
      <w:pPr>
        <w:pStyle w:val="Heading2"/>
      </w:pPr>
      <w:r>
        <w:t>Regeste</w:t>
      </w:r>
    </w:p>
    <w:p>
      <w:r>
        <w:t>Arrêt de la IIIe Cour administrative du Tribunal cantonal | Strassenverkehr und Transportwesen</w:t>
      </w:r>
    </w:p>
    <w:p>
      <w:pPr>
        <w:pStyle w:val="Heading2"/>
      </w:pPr>
      <w:r>
        <w:t>Erwägungen</w:t>
      </w:r>
    </w:p>
    <w:p>
      <w:r>
        <w:rPr>
          <w:b/>
        </w:rPr>
        <w:t>E. 1</w:t>
      </w:r>
    </w:p>
    <w:p>
      <w:r>
        <w:t>a) Interjeté dans le délai et les formes prescrits (art. 79 ss du code fribourgeois du 23 mai 1991 de procédure et de juridiction administrative, CPJA; RSF 150.1) - l’avance des frais de procédure ayant par ailleurs été versée en temps utile – le recours est recevable à la forme. Le Tribunal cantonal peut dès lors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w:t>
      </w:r>
    </w:p>
    <w:p>
      <w:r>
        <w:t>Tribunal cantonal TC Page 3 de 6 expresse, le Tribunal cantonal ne peut pas examiner en l’espèce le grief d’inopportunité (art. 78 al. 2 CPJA).</w:t>
      </w:r>
    </w:p>
    <w:p>
      <w:r>
        <w:rPr>
          <w:b/>
        </w:rPr>
        <w:t>E. 2</w:t>
      </w:r>
    </w:p>
    <w:p>
      <w:r>
        <w:t>a) 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 ci est liée par les règles de droit que le juge pénal a appliquées (ATF 124 II 103 consid. 1 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b) Dans la mesure où il a été condamné pénalement, selon décision entrée en force, il y a lieu de retenir que le recourant a conduit sous l’influence de l’alcool, qu'il a fait entrave aux mesures de constatation de l'incapacité de conduire et qu'il a heurté une barrière en effectuant une marche arrière. Au demeurant, le recourant ne conteste pas les faits qui lui sont reprochés. Il se plaint en revanche de la sévérité de la mesure prise à son endroit.</w:t>
      </w:r>
    </w:p>
    <w:p>
      <w:r>
        <w:rPr>
          <w:b/>
        </w:rPr>
        <w:t>E. 3</w:t>
      </w:r>
    </w:p>
    <w:p>
      <w:r>
        <w:t>a) Selon l’art. 16c al. 1 let. b la loi du 19 décembre 1958 sur la circulation routière (LCR; RS 741.01), commet une infraction grave la personne qui conduit un véhicule automobile en état d'ébriété et présente un taux d'alcool qualifié dans l'haleine ou dans le sang. L’art. 55 al. 6 LCR prescrit que l’Assemblée fédérale fixe dans une ordonnance le taux d'alcool dans l'haleine et le taux d'alcool dans le sang à partir desquels les conducteurs sont réputés être dans l'incapacité de conduire au sens de la LCR (état d'ébriété) indépendamment de toute autre preuve et du degré de tolérance individuelle à l'alcool (let. a) ainsi que le taux qualifié d'alcool dans l'haleine et dans le sang (let. b). En vertu de l’art. 2 de l’ordonnance du 15 juin 2012 de l’Assemblée fédérale concernant les taux limites d’alcool admis en matière de circulation routière (RS 741.13), sont considérés comme qualifiés: "a. un taux d’alcool dans le sang de 0,8 gramme pour mille ou plus;</w:t>
      </w:r>
    </w:p>
    <w:p>
      <w:r>
        <w:t>Tribunal cantonal TC Page 4 de 6 b. un taux d’alcool dans l’haleine de 0,4 milligramme ou plus par litre d’air expiré." Ainsi, la conduite en état d’ébriété avec un taux qualifié, en l’espèce de 1,06 g 0/00 minimum mesuré dans l’haleine - ou, exprimé en mg/l, 0,53 mg/l - est, sous l'aspect des mesures administratives, constitutive d'une faute grave. On notera dans ce contexte que la qualification de faute grave - par l'art. 16c al. 1 let. b LCR, l’art. 55 al. 6 LCR et l’ordonnance parlementaire précitée - ne prévoit pas d'exception, notamment pas au regard de la mise en danger et des éventuelles fautes de circulation, ou encore du degré de tolérance. Dans ces conditions, c'est à juste titre que l'autorité intimée a qualifié la faute commise de grave. Au vu du texte légal sans équivoque, la CMA se devait d'appliquer l'art. 16c al. 1 let. b LCR et, partant, de prononcer une sanction administrative. b) Par ailleurs, vu les résultats positifs de l'alcootest, le recourant a été invité à se soumettre à une prise de sang, mais il a refusé. Or, selon le prescrit de l'art. 16c al. 1 let. d LCR, commet une infraction grave la personne 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 En refusant de se soumettre à la prise de sang ordonnée, le recourant a manifestement enfreint également le prescrit de cette disposition. c) Finalement, en raison d'une inattention et de son état d'ivresse, le recourant a embouti une barrière en effectuant une marche arrière pour quitter sa place de stationnement. Ce faisant, il a commis une faute que la CMA a qualifiée, à juste titre, de légère.</w:t>
      </w:r>
    </w:p>
    <w:p>
      <w:r>
        <w:rPr>
          <w:b/>
        </w:rPr>
        <w:t>E. 4</w:t>
      </w:r>
    </w:p>
    <w:p>
      <w:r>
        <w:t>a) Selon l'art. 16c al. 2 LCR, après une infraction grave, le permis d'élève conducteur ou le permis de conduire est retiré: "a. pour trois mois au minimum; abis.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16b al. 2 let. e."</w:t>
      </w:r>
    </w:p>
    <w:p>
      <w:r>
        <w:t>Tribunal cantonal TC Page 5 de 6 Le législateur est parti de l’idée que le délai d’attente minimal du retrait de sécurité était en règle générale de deux ans. En effet, selon le message du Conseil fédéral, la personne qui ne modifiera pas son comportement et qui commettra une nouvelle infraction grave malgré deux retraits d'admonestation en raison d'infractions graves, ou trois retraits en raison d'infractions moyennement graves, devrait être jugée inapte à conduire de par la loi, compte tenu du danger qu'elle représente pour les autres usagers de la route. Le permis de conduire devra être retiré à de telles personnes pour une durée indéterminée, mais au minimum pour deux ans (message du Conseil fédéral du 31 mars 1999 concernant la modification de la loi fédérale sur la circulation routière, in FF 1999 IV 4135). b) En l’occurrence, le permis du recourant a été retiré deux fois en raison d'infractions graves en dix ans, soit: - par décision du 27 mai 2015: retrait du permis de 12 mois, exécuté jusqu'au 20 mars 2016, pour conduite sous le coup d'un retrait; - par décision du 12 juin 2014: retrait du permis de 6 mois, exécuté jusqu'au 2 juin 2015, notamment pour conduite en état d'ébriété non qualifiée. Ainsi, ces deux retraits, prononcés pour faute grave, l'ont été de manière rapprochée en moins de trois ans, de sorte qu'un intervalle de cinq ans entre l’exécution des mesures - qui aurait permis de renoncer à un retrait de sécurité comme le prévoit l'art. 16a al. 2 LCR précité - n'a pas pu intervenir. Aussi l'autorité intimée se devait de prononcer le retrait de sécurité du recourant, pour une durée indéterminée, mais deux ans au minimum, en application de l'art. 16c al. 2 let. d LCR. c) Vu le prescrit de l'art. 16 al. 3, dernière phrase, LCR, la durée minimale de 24 mois ne peut pas être réduite, pas même au regard d’un éventuel besoin professionnel dont pourrait se prévaloir le recourant. Au demeurant, il importe de rappeler qu'en conduisant en état d'ébriété avancée, le recourant a délibérément pris le risque non seulement de mettre en danger la sécurité routière, mais également de se voir retirer son permis de conduire. Il ne peut dès lors s'en prendre qu'à lui-même s’il doit en supporter les conséquences.</w:t>
      </w:r>
    </w:p>
    <w:p>
      <w:r>
        <w:rPr>
          <w:b/>
        </w:rPr>
        <w:t>E. 5</w:t>
      </w:r>
    </w:p>
    <w:p>
      <w:r>
        <w:t>Pour l'ensemble des motifs qui précèdent, force est de constater que la décision de la CMA est conforme aux principes de la légalité et de la proportionnalité et ne concrétise aucun abus ou excès de son pouvoir d'appréciation. Elle doit dès lors être confirmée et le recours rejeté.</w:t>
      </w:r>
    </w:p>
    <w:p>
      <w:r>
        <w:rPr>
          <w:b/>
        </w:rPr>
        <w:t>E. 6</w:t>
      </w:r>
    </w:p>
    <w:p>
      <w:r>
        <w:t>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w:t>
      </w:r>
    </w:p>
    <w:p>
      <w:r>
        <w:t>Tribunal cantonal TC Page 6 de 6 la Cour arrête: I. Le recours est rejeté. Partant, la décision du 27 octobre 2016 de la CMA est confirmée. II. Les frais de procédure, par CHF 600.-, sont mis à la charge du recourant. Ils sont compensés par l'avance de frais qu'il a versée. III. Communication.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25 avril 2017/mju/rfr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