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203 vom 25. April 2017</w:t>
      </w:r>
    </w:p>
    <w:p>
      <w:r>
        <w:t>FR Kantonsgericht, 2017-04-25, FR</w:t>
      </w:r>
    </w:p>
    <w:p>
      <w:r>
        <w:rPr>
          <w:b/>
        </w:rPr>
        <w:t xml:space="preserve">Quelle: </w:t>
      </w:r>
      <w:r>
        <w:t>https://mcp.opencaselaw.ch/entscheid/fr_gerichte_603_2016_203</w:t>
      </w:r>
    </w:p>
    <w:p>
      <w:r>
        <w:t>FR: FR_GERICHTE 603 2016 203 du 25 avril 2017</w:t>
      </w:r>
    </w:p>
    <w:p>
      <w:r>
        <w:t>IT: FR_GERICHTE 603 2016 203 del 25 aprile 2017</w:t>
      </w:r>
    </w:p>
    <w:p>
      <w:pPr>
        <w:pStyle w:val="Heading2"/>
      </w:pPr>
      <w:r>
        <w:t>Regeste</w:t>
      </w:r>
    </w:p>
    <w:p>
      <w:r>
        <w:t>Arrêt de la IIIe Cour administrative du Tribunal cantonal | Strassenverkehr und Transportwesen</w:t>
      </w:r>
    </w:p>
    <w:p>
      <w:pPr>
        <w:pStyle w:val="Heading2"/>
      </w:pPr>
      <w:r>
        <w:t>Erwägungen</w:t>
      </w:r>
    </w:p>
    <w:p>
      <w:r>
        <w:rPr>
          <w:b/>
        </w:rPr>
        <w:t>E. 32</w:t>
      </w:r>
    </w:p>
    <w:p>
      <w:r>
        <w:t>consid. 5.1; 118 IV 84 consid. 2a); que, de jurisprudence constante, l’infraction de dépassement par la droite est en principe constitutive d’une faute grave (ATF 128 II 285 consid. 1.3 s; 126 IV 192 consid. 3; 95 IV 84 consid. 3; TF, 1C_280/2012 consid. 3.3 et 6B_903/2010 consid. 3.4). L’interdiction de dépassement par la droite représente une règle fondamentale de la sécurité routière, dont la violation entraîne une mise en danger considérable de la sécurité routière, avec un risque d’accident important, et s’avère par conséquent objectivement grave (ATF 128 II 285 consid. 1.3). Celui qui circule sur l'autoroute doit pouvoir être sûr qu'il ne sera pas devancé tout à coup par la droite. Le dépassement par la droite sur l'autoroute, où des vitesses élevées sont pratiquées, représente une grave mise en danger abstraite des autres usagers de la route (ATF 126 IV 192 consid. 3); qu’en l’espèce, les vitesses prétendument trop lentes du camion qui précédait le recourant et du véhicule qu'il a dépassé par la droite - estimées par le recourant respectivement à 80 et 85 km/h - ne justifient d'aucune manière la manœuvre interdite qu'il a effectuée. En dépassant un véhicule par la droite sur l'autoroute avant de se placer sur la voie de gauche, le recourant a créé un sérieux danger non seulement pour sa propre sécurité mais aussi pour celle des autres usagers; que c’est à juste titre, dans ces conditions, que l’autorité intimée a qualifié de grave l’infraction reprochée au recourant; qu’à teneur de l’art. 16c al. 2 let. a LCR, suite à une infraction grave, le permis de conduire est retiré pour trois mois au minimum; que, 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que la règle de l’art. 16 al. 3, dernière phrase, LCR, qui rend incompressibles les durées minimales de retrait de permis, a été introduite dans la loi par souci d’uniformité. Le législateur a ainsi entendu exclure expressément la possibilité de réduire la durée minimale du retrait en présence de circonstances particulières (FF 1999 IV 4131; ATF 132 II 234 consid. 2.3);</w:t>
      </w:r>
    </w:p>
    <w:p>
      <w:r>
        <w:t>Tribunal cantonal TC Page 5 de 5 qu’en prononçant un retrait d’une durée de trois mois, la CMA s’en est tenue à la durée légale minimale, de sorte qu’une réduction de celle-ci ne saurait entrer en ligne de compte, pour quelque motif que ce soit; qu’au demeurant, il importe de rappeler qu'en dépassant un véhicule automobile par la droite sur l’autoroute, le recourant a délibérément pris le risque non seulement de mettre en danger la sécurité routière, mais également de se voir retirer son permis de conduire. Il ne peut dès lors s'en prendre qu'à lui-même s’il doit en supporter les conséquences; que, pour l'ensemble des motifs qui précèdent, la décision de la CMA, conforme aux principes de la légalité et de la proportionnalité, doit être confirmée et le recours rejeté; que, vu l'issue du recours, les frais de procédure doivent être mis à la charge du recourant qui succombe (art. 131 CPJA); qu’étant donné le caractère manifestement mal fondé du recours, la présente décision est rédigée en la forme sommaire (art. 99 CPJA); la Cour arrête: I. Le recours est rejeté. Partant, la décision du 12 octobre 2016 est confirmée. II. Les frais de procédure, par CHF 600.-, sont mis à la charge du recourant. Ils sont compensés avec l’avance de frais versée. III.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25 avril 2017/mju/rfr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