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71 vom 26. April 2016</w:t>
      </w:r>
    </w:p>
    <w:p>
      <w:r>
        <w:t>FR Kantonsgericht, 2016-04-26, DE</w:t>
      </w:r>
    </w:p>
    <w:p>
      <w:r>
        <w:rPr>
          <w:b/>
        </w:rPr>
        <w:t xml:space="preserve">Quelle: </w:t>
      </w:r>
      <w:r>
        <w:t>https://mcp.opencaselaw.ch/entscheid/fr_gerichte_603_2015_71</w:t>
      </w:r>
    </w:p>
    <w:p>
      <w:r>
        <w:t>FR: FR_GERICHTE 603 2015 71 du 26 avril 2016</w:t>
      </w:r>
    </w:p>
    <w:p>
      <w:r>
        <w:t>IT: FR_GERICHTE 603 2015 71 del 26 aprile 2016</w:t>
      </w:r>
    </w:p>
    <w:p>
      <w:pPr>
        <w:pStyle w:val="Heading2"/>
      </w:pPr>
      <w:r>
        <w:t>Regeste</w:t>
      </w:r>
    </w:p>
    <w:p>
      <w:r>
        <w:t>Entscheid des III. Verwaltungsgerichtshofes des Kantonsgerichts | Strassenverkehr und Transportwesen</w:t>
      </w:r>
    </w:p>
    <w:p>
      <w:pPr>
        <w:pStyle w:val="Heading2"/>
      </w:pPr>
      <w:r>
        <w:t>Erwägungen</w:t>
      </w:r>
    </w:p>
    <w:p>
      <w:r>
        <w:rPr>
          <w:b/>
        </w:rPr>
        <w:t>E. 1</w:t>
      </w:r>
    </w:p>
    <w:p>
      <w:r>
        <w:t>a) Das Kantonsgericht ist zur Beurteilung der Beschwerde zuständig (Art. 12 Abs. 1 des kantonalen Gesetzes vom 12. November 1981 zur Ausführung der Bundesgesetzgebung über den Strassenverkehr [AGSVG; SGF 781.1] in Verbindung mit Art. 114 Abs. 1 lit. b des kantonalen Ge- setzes vom 23. Mai 1991 über die Verwaltungsrechtspflege [VRG; SGF 150.1]). Die Beschwerde- führerin ist zur Ergreifung des Rechtsmittels legitimiert (Art. 76 VRG). Die Beschwerdefrist wurde eingehalten (Art. 79 Abs. 1 VRG). Auch wurde der Kostenvorschuss rechtzeitig bezahlt (Art. 128 VRG). Auf die Beschwerde ist daher einzutreten. b) Mit der Beschwerde an das Kantonsgericht können die Verletzung des Rechts ein- schliesslich Überschreitung oder Missbrauch des Ermessens, sowie die unrichtige oder unvoll-</w:t>
      </w:r>
    </w:p>
    <w:p>
      <w:r>
        <w:t>Kantonsgericht KG Seite 4 von 8 ständige Feststellung des rechtserheblichen Sachverhalts gerügt werden. Die Rüge der Unange- messenheit ist vorliegend ausgeschlossen (Art. 77 f. VRG).</w:t>
      </w:r>
    </w:p>
    <w:p>
      <w:r>
        <w:rPr>
          <w:b/>
        </w:rPr>
        <w:t>E. 2</w:t>
      </w:r>
    </w:p>
    <w:p>
      <w:r>
        <w:t>a) Gemäss Art. 10 Abs. 1 des Strassenverkehrsgesetzes vom 19. Dezember 1958 (SVG; SR 741.01) dürfen Motorfahrzeuge und ihre Anhänger nur mit Fahrzeugausweis und Kontrollschil- dern in Verkehr gebracht werden. Nach Art. 25 Abs. 2 lit. d SVG erlässt der Bundesrat Vorschriften über Ausweise und Kontrollschilder, inbegriffen kurzfristig gültige für geprüfte und nicht geprüfte Motorfahrzeuge und Anhänger sowie für Unternehmen des Motorfahrzeuggewerbes. Unter ande- rem gestützt auf diese Bestimmung hat der Bundesrat die VVV erlassen, welche in deren Art. 22 bis 26 die Abgabe von Kollektiv-Fahrzeugausweisen und Händlerschildern regelt. b) Nach Art. 23 Abs. 1 VVV werden Kollektiv-Fahrzeugausweise (in Verbindung mit Händ- lerschildern; vgl. Art. 22 VVV) an Betriebe abgegeben, welche die im Anhang 4 VVV aufgeführten Voraussetzungen erfüllen und zudem über die für die Art des Betriebes erforderlichen Bewilligun- gen verfügen (lit. a), Gewähr für eine einwandfreie Verwendung des Kollektiv-Fahrzeugausweises bieten (lit. b) und, soweit es sich um Unternehmen des Motorfahrzeuggewerbes handelt, die in Art. 27 Abs. 2 SVG vorgeschriebene Versicherung abgeschlossen haben (lit. c). Darüber hinaus sieht der am 1. Juni 2001 in Kraft getretene Art. 23 Abs. 2 VVV vor, dass die kantonale Behörde von den Voraussetzungen des Anhangs 4 VVV (anders als von den in Art. 23 Abs. 1 lit. a-c VVV genannten Grundvoraussetzungen, welche immer erfüllt sein müssen) zu Gunsten des Bewerbers ausnahmsweise abweichen kann, wenn die Gesamtbeurteilung des Betriebes ergibt, dass die Händlerschilder ohne Gefahr für die Verkehrssicherheit und die Umwelt abgegeben werden kön- nen. c) Die minimalen Voraussetzungen nach Anhang 4 VVV dienen demnach grundsätzlich nur als Richtlinien (Urteil BGer 2C_522/2012 vom 28. Dezember 2012 E. 2.2), von denen die kanto- nalen Behörden aufgrund einer Gesamtbeurteilung abweichen können. Der Kollektiv-Fahrzeug- ausweis (und das damit verbundene Händlerschild) stellt eine Bewilligung eigener Art dar, die sich von den übrigen Ausweisarten dadurch grundlegend unterscheidet, dass der Ausweis nicht auf ein bestimmtes Fahrzeug ausgestellt wird, sondern es dem Betrieb erlaubt, mit beliebigen Fahrzeugen der entsprechenden Kategorien zu fahren. Eine entsprechende Ausnahmebewilligung ist einerseits mit Blick auf die vom Verordnungsgeber mit dem Inkrafttreten von Art. 23 Abs. 2 VVV gewollten Lockerung der Voraussetzungen für die Erteilung, andererseits mit Blick auf die Gewährleistung der Verkehrssicherheit und den Schutz der Umwelt, zu beurteilen (WEISSENBERGER, Kommentar Strassenverkehrsgesetz und Ordnungsbussengesetz, 2. Aufl. 2015, Art. 25 N. 4, mit Hinweis). Obwohl schliesslich die Voraussetzungen von Anhang 4 VVV nach der bundesgerichtlichen Rechtsprechung nur noch als Richtlinien dienen, erfüllen sie dennoch bei der Auslegung der Krite- rien von Art. 23 Abs. 1 lit. a-c VVV, von denen nach wie vor nicht abgewichen werden kann, eine wichtige Rolle (vgl. Urteil KG FR 603 2014 225 f. vom 1. Mai 2015 E. 8c; Urteil Verwaltungsrekurs- kommission SG IV-2013/158 vom 28. Mai 2014 E. 3b).</w:t>
      </w:r>
    </w:p>
    <w:p>
      <w:r>
        <w:rPr>
          <w:b/>
        </w:rPr>
        <w:t>E. 3</w:t>
      </w:r>
    </w:p>
    <w:p>
      <w:r>
        <w:t>a) Hinsichtlich der Kollektiv-Fahrzeugausweise für Fahrzeughändler – eine andere Quali- fikation des Betriebes der Beschwerdeführerin ist vorliegend nicht ersichtlich – sieht Ziff. 3 Anhang</w:t>
      </w:r>
    </w:p>
    <w:p>
      <w:r>
        <w:rPr>
          <w:b/>
        </w:rPr>
        <w:t>E. 3.1</w:t>
      </w:r>
    </w:p>
    <w:p>
      <w:r>
        <w:t>Anhang 4 VVV), die vorgegebenen Verkaufszahlen werden nicht erreicht (Ziff. 3.2 Anhang 4 VVV) und die vorhandenen Räumlichkeiten und Betriebseinrichtungen erweisen sich als ungenü- gend (Ziff. 3.3 und 3.4 Anhang 4 VVV). Ferner ist der Hauptzweck der Beschwerdeführerin gemäss dem Auszug aus dem Handelsregister die "Erbringung von Dienstleistungen in den Bereichen Wirtschaft (…)". Lediglich gemäss dem in den Statuten festgehaltenen Nebenzweck "kann" die Gesellschaft "Liegenschaften, Fahrzeuge, Schiffe sowie Spezialfahrzeuge erwerben, veräussern, mieten, vermieten, pachten oder verpachten". Auch diese Zweckumschreibung indiziert, dass die Beschwerdeführerin nicht auf den Fahrzeughandel fokussiert. Schliesslich kann auch dem Argument der Beschwerdeführerin, dass sie durch die Praxis der Vor- instanz zu Unrecht in ihrer Wirtschaftsfreiheit beeinträchtigt werde, vorliegend nicht gefolgt werden: Zwar stellt die Verweigerung eines Händlerschildes ggf. eine Einschränkung einer privatwirtschaft- lichen Tätigkeit dar und tangiert damit grundsätzlich die Wirtschaftsfreiheit (Art. 27 BV). Wie oben aufgezeigt, beruht diese Grundrechtsbeschränkung indes auf einer gesetzlichen Grundlage, sie ist durch öffentliche Interessen gerechtfertigt (insbesondere die Gewährleistung der Verkehrssicher- heit und den Schutz der Umwelt) und sie erweist sich vorliegend – namentlich, da es sich beim Betrieb der Beschwerdeführerin (wenn überhaupt) höchstens um eine sehr marginale Aktivität handelt und ihr Geschäftsführer C.________ gemäss der Stellungnahme der Vorinstanz vom 3. Juni 2015 hauptsächlich als Betriebsleiter eines Restaurationsbetriebes tätig ist – im Ergebnis auch als verhältnismässig (Art. 36 BV). Insgesamt bietet damit die Beschwerdeführerin – welche sich im Bereich des Fahrzeughandels betätigen möchte – keine genügende Gewähr für eine einwandfreie Verwendung des Kollektiv- Fahrzeugausweises; insbesondere kann eine Gefährdung der Verkehrssicherheit nicht ausge- schlossen werden. Eine ausnahmsweise Abweichung von den Voraussetzungen des Anhangs 4 VVV lässt sich damit vorliegend nicht rechtfertigen.</w:t>
      </w:r>
    </w:p>
    <w:p>
      <w:r>
        <w:t>Kantonsgericht KG Seite 8 von 8 f) Soweit die Beschwerdeführerin überdies in ihrer Beschwerde rügte, dass die Vorinstanz ihren Anspruch auf rechtliches Gehör verletzt habe, da sie nicht auf die Ausnahmebestimmung von Art. 23 Abs. 2 VVV eingegangen sei, erweist sich dies als faktenwidrig. Die Vorinstanz hat sich in der angefochtenen Verfügung mit der Rechtsprechung zu Art. 23 Abs. 2 VVV befasst und zu Recht dargelegt, dass namentlich eine Gefährdung der Verkehrssicherheit nicht ausgeschlossen werden könne, und folglich den Antrag der Beschwerdeführerin abgelehnt.</w:t>
      </w:r>
    </w:p>
    <w:p>
      <w:r>
        <w:rPr>
          <w:b/>
        </w:rPr>
        <w:t>E. 3.2</w:t>
      </w:r>
    </w:p>
    <w:p>
      <w:r>
        <w:t>Umfang des Betriebes für</w:t>
      </w:r>
    </w:p>
    <w:p>
      <w:r>
        <w:rPr>
          <w:b/>
        </w:rPr>
        <w:t>E. 3.3</w:t>
      </w:r>
    </w:p>
    <w:p>
      <w:r>
        <w:t>Räumlichkeiten: - Raum für Fahrzeugaufbereitung und Fahrzeugpräsentation von mindestens 50 m2, - Abstellplatz für mindestens weitere zehn Fahrzeuge und - Büro mit Telefon.</w:t>
      </w:r>
    </w:p>
    <w:p>
      <w:r>
        <w:rPr>
          <w:b/>
        </w:rPr>
        <w:t>E. 3.4</w:t>
      </w:r>
    </w:p>
    <w:p>
      <w:r>
        <w:t>Betriebseinrichtungen: - Einrichtungen und Werkzeugsortiment für die Bereitstellung von Fahrzeugen, - Lift oder Grube, Batterieladegerät, Wagenheber, optisches Lichteinstellgerät, typengeprüftes Abgasmessgerät." Es ist folglich zu prüfen, ob bzw. inwiefern bei der Beschwerdeführerin die vorerwähnten Voraus- setzungen erfüllt sind und ob es sich ggf. aufgrund einer Gesamtbeurteilung rechtfertigt, von die- sen Voraussetzungen ausnahmsweise abzuweichen. b) Zu den erforderlichen Fachkenntnissen und Erfahrungen (Ziff. 3.1 Anhang 4 VVV) hat das Bundesgericht in seiner Rechtsprechung ausgeführt, dass keine Gefahr für die Verkehrs- sicherheit erwachse, wenn diese Kenntnisse und Erfahrungen zwar nicht im fraglichen Betrieb selbst vorhanden sind, aber in einer Garage, die sich in unmittelbarer Nachbarschaft zum fragli- chen Betrieb befindet, so dass die Fahrzeuge für die notwendigen Arbeiten nicht in den öffentli- chen Verkehr eingefügt werden müssen. Ggf. könnte demnach bei dieser Situation von den in Ziff.</w:t>
      </w:r>
    </w:p>
    <w:p>
      <w:r>
        <w:rPr>
          <w:b/>
        </w:rPr>
        <w:t>E. 3.21</w:t>
      </w:r>
    </w:p>
    <w:p>
      <w:r>
        <w:t>einen Kollektiv-Fahrzeugausweis: Verkauf pro Jahr von mindestens - 40 leichten Motorwagen, - 10 schweren Motorwagen, - 30 Motorrädern, - 20 landwirtschaftlichen Fahrzeugen, - 20 Arbeitsfahrzeugen, - 20 Anhängern, - 20 dreirädrigen Motorfahrzeugen, - 20 Kleinmotorfahrzeugen, oder - 20 Leichtmotorfahrzeugen; (…)</w:t>
      </w:r>
    </w:p>
    <w:p>
      <w:r>
        <w:rPr>
          <w:b/>
        </w:rPr>
        <w:t>E. 4</w:t>
      </w:r>
    </w:p>
    <w:p>
      <w:r>
        <w:t>Die Beschwerde vom 28. April 2015 erweist sich im Ergebnis als unbegründet und ist abzu- weisen; die Verfügung der Vorinstanz vom 30. März 2015 ist zu bestätigen.</w:t>
      </w:r>
    </w:p>
    <w:p>
      <w:r>
        <w:rPr>
          <w:b/>
        </w:rPr>
        <w:t>E. 5</w:t>
      </w:r>
    </w:p>
    <w:p>
      <w:r>
        <w:t>Die Kosten, die auf CHF 600.- festgelegt und mit dem geleisteten Kostenvorschuss verrech- net werden, sind dem Verfahrensausgang entsprechend der Beschwerdeführerin aufzuerlegen (Art. 131 Abs. 1 VRG; Art. 1 und 2 des kantonalen Tarifs vom 17. Dezember 1991 der Verfahrens- kosten und Entschädigungen in der Verwaltungsjustiz [TarifVJ; SGF 150.12]). Eine Parteientschä- digung ist nicht geschuldet (Art. 137 Abs. 1 VRG). Der Hof erkennt: I. Die Beschwerde wird abgewiesen. II. Die Gerichtskosten von CHF 600.- werden der Beschwerdeführerin auferlegt und mit dem geleisteten Kostenvorschuss verrechnet. III.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26. April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