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197 vom 25. Oktober 2016</w:t>
      </w:r>
    </w:p>
    <w:p>
      <w:r>
        <w:t>FR Kantonsgericht, 2016-10-25, FR</w:t>
      </w:r>
    </w:p>
    <w:p>
      <w:r>
        <w:rPr>
          <w:b/>
        </w:rPr>
        <w:t xml:space="preserve">Quelle: </w:t>
      </w:r>
      <w:r>
        <w:t>https://mcp.opencaselaw.ch/entscheid/fr_gerichte_603_2015_197</w:t>
      </w:r>
    </w:p>
    <w:p>
      <w:r>
        <w:t>FR: FR_GERICHTE 603 2015 197 du 25 octobre 2016</w:t>
      </w:r>
    </w:p>
    <w:p>
      <w:r>
        <w:t>IT: FR_GERICHTE 603 2015 197 del 25 ottobre 2016</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2006 84 du 2 novembre 2006 consid. 4d; arrêt TA FR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w:t>
      </w:r>
    </w:p>
    <w:p>
      <w:r>
        <w:t>Tribunal cantonal TC Page 4 de 8 II 103 consid. 1 c-aa et bb; 104 Ib 359).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b) En l’occurrence, par ordonnance pénale du 11 novembre 2015, la Préfecture du district Riviera – Pays d’Enhaut, a reconnu le recourant coupable de violation simple des règles de la circulation pour s’être assoupi volant et avoir perdu la maîtrise de son véhicule. Cette ordonnance est entrée en force, dès lors que l’opposition - tardive - a été déclarée irrecevable par le Tribunal d’arrondissement de l’Est vaudois. Les arguments invoqués dans le cadre du présent recours ne justifient pas de remettre en cause l’état de fait retenu par l’autorité pénale. D’une part en effet, il n’est pas crédible que le recourant, pris d’une fatigue soudaine alors qu’il entrait sur l’autoroute, ait délibérément décidé de traverser la bande d’arrêt d’urgence pour s’arrêter dans un talus herbeux, afin d’y faire une sieste; s'il se sentait fatigué au point de ne pas pouvoir conduire - ou continuer à conduire - il pouvait clairement s'arrêter avant d'accéder à l'autoroute ou décider de la quitter à la prochaine sortie. En tout état de cause, son besoin irrésistible de se reposer - à un endroit manifestement interdit à la circulation - ne convainc pas, de loin s'en faut. A cela s'ajoute que son véhicule, "immobilisé en mauvaise posture" selon les déclarations des agents, a dû être tracté par la voiture de police jusque sur la bande d'arrêt d'urgence, ce qui contredit clairement l'hypothèse de la "halte volontaire dans un pré" soutenue par le recourant. Au vu des circonstances du cas, il semble bien plus réaliste de retenir qu'à la suite d'un léger assoupissement, le recourant est sorti de la route, a traversé la bande d'arrêt d'urgence et a fini sa course en contrebas, sur le terrain herbeux. A l'instar du juge pénal, il y a dès lors lieu de retenir pour établi de manière suffisamment probante que le recourant s’est assoupi au volant et qu'il a perdu la maîtrise de son véhicule. Les réquisitions de preuves complémentaires du recourant - soit son audition et une vision locale - ne seraient pas de nature à modifier cet état de fait. D'une part, le recourant a pu avancer ses arguments dans le cadre de la procédure administrative et de recours; d'autre part, le lieu de l'infraction est connu et de surcroît documenté par des photographies versées au dossier. Les offres de preuves sont dès lors rejetées.</w:t>
      </w:r>
    </w:p>
    <w:p>
      <w:r>
        <w:rPr>
          <w:b/>
        </w:rPr>
        <w:t>E. 3</w:t>
      </w:r>
    </w:p>
    <w:p>
      <w:r>
        <w:t>a) En vertu de l’art. 31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des stupéfiants, de médicaments ou pour d’autres raisons, est réputée incapable de conduire pendant cette période et doit s’en abstenir (al. 2).</w:t>
      </w:r>
    </w:p>
    <w:p>
      <w:r>
        <w:t>Tribunal cantonal TC Page 5 de 8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 Selon la jurisprudence, le surmenage ne consiste pas seulement en un état de fatigue chronique, tel qu'il peut se présenter après une longue période de travail intensif ou après une série de nuits de repos trop courtes; l'interdiction de prendre le volant résultant de la disposition précitée s'applique tant à celui qui est momentanément fatigué ou somnolent qu'à celui qui se trouve sous l'effet passager d'un médicament ou d'une drogue (JdT 1982 I 409 no 16). Le fait de conduire dans un état de fatigue extrême est aussi dangereux pour la circulation que l'ivresse (JdT 1978 I 399 no 12a) et celui qui conduit dans cet état occasionne une grave mise en danger de la circulation (JdT 1988 I 651 no 14). Cela étant, en cas de surmenage, la faute grave ne peut être retenue qu'à l'égard du conducteur qui avait conscience du risque de s'endormir, qui aurait dû compter avec un assoupissement ou ressentir les signes avant-coureurs du sommeil (SJ 1992 p. 524 no 106 = JdT 1992 I 706 no 33). b) En l’espèce, au vu des faits établis, il faut constater que le recourant a violé les dispositions légales précitées. Partant, la CMA se devait de prononcer une mesure administrative.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p. 109): - le cas de très peu de gravité (art. 16a al. 4 LCR); - le cas de peu de gravité (art. 16a al. 1 LCR); - le cas de gravité moyenne (art. 16b al. 1 LCR); - le cas grave (art. 16c al. 1 LCR). Sur la base des dispositions précitées, l'autorité administrative doit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w:t>
      </w:r>
    </w:p>
    <w:p>
      <w:r>
        <w:t>Tribunal cantonal TC Page 6 de 8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b) Selon la jurisprudence (voir arrêt TF 6A.84/2006 et 6A.87/2006 du 27 décembre 2006 consid. 3.2 et la réf. cit.),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 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certes endiguer, voire supprimer la fatigue. Il n'en demeure pas moins, dans la règle,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malgré les précautions prises qui peuvent, au demeurant, être exigées de tous les conducteurs qui effectuent de longs trajets. Par ailleurs, les précautions prises demeurent sans incidence sur l'appréciation de la gravité de la mise en danger du trafic, qui résulte de la perte totale de maîtrise du véhicule après l'assoupissement (arrêt TF 6A.84/2006 et 6A.87/2006 précité). Par ailleurs, le fait que durant la phase d'assoupissement le véhicule poursuive sa trajectoire de manière non maîtrisée, au risque d'entrer en collision avec un obstacle ou un autre véhicule, constitue manifestement une mise en danger abstraite accrue de la sécurité (arrêt TC FR 603 2015 46 du 23 avril 2015).</w:t>
      </w:r>
    </w:p>
    <w:p>
      <w:r>
        <w:t>Tribunal cantonal TC Page 7 de 8 c) En l'espèce, les éléments au dossier ne permettent pas de retenir que l'assoupissement du recourant n'a pas été précédé de signes annonciateurs. D'une part, celui-ci n'a pas établi qu'il souffrait d'une maladie ou d'un malaise soudain qui auraient conduit à un brusque endormissement. D'autre part, il faut constater que le recourant a indiqué ne pas être surmené par son travail et avoir dormi de manière correcte la nuit précédente. Il avait eu une journée particulièrement longue et pénible avant de reprendre la route, en toute fin de soirée. Il faut dès lors en déduire qu'il a nécessairement dû ressentir des signaux d'alerte d'assoupissement et que, ce nonobstant, il a poursuivi son trajet jusqu'à l'entrée d'autoroute où il s'est assoupi, ne serait-ce que quelques secondes, et a dévié la trajectoire de son véhicule, pour finir hors de la voie de circulation, dans la verdure. Au vu des circonstances du cas d'espèce, rien ne justifie de s'écarter des principes exprimés par la jurisprudence précitée. Aussi, c'est à bon droit que l'autorité intimée a qualifié de grave la faute commise, au sens de l'art. 16c al. 1 let. c LCR. d) Il est vrai que le Juge pénal n'a retenu qu'une infraction simple aux règles de la circulation routière, en faisant application de l'art. 90 ch. 1 LCR. Il convient toutefois de rappeler que pour de pures questions de droit, dont fait partie l'appréciation de la gravité d'un cas, les autorités administratives ne sont pas liées par la qualification du juge pénal (cf. consid. 2a ci- avant). En particulier, la jurisprudence retient que, lorsque les autorités administrative et pénale se sont toutes deux fondées uniquement sur le dossier, l'autorité administrative n'est pas liée par la qualification juridique donnée au pénal (cf. ATF 123 II 97 consid. 3c/aa p. 103 s.; ATF 120 Ib 312; ATF 115 Ib 163; arrêt TA FR 3A 2004 131 du 8 octobre 2004 et les arrêts cités; arrêt TF 1C_555/2008 du 1er avril 2009).</w:t>
      </w:r>
    </w:p>
    <w:p>
      <w:r>
        <w:rPr>
          <w:b/>
        </w:rPr>
        <w:t>E. 5</w:t>
      </w:r>
    </w:p>
    <w:p>
      <w:r>
        <w:t>a) En cas d'infraction grave, l'art. 16c al. 2 let. a LCR prévoit que le permis d'élève conducteur ou le permis de conduire est retiré pour trois mois au minimum. Pour fixer la durée du retrait du permis d'élève conducteur ou du permis de conduire, l'art. 16 al. 3 LCR exige que l'ensemble des circonstances soient prises en considération, notamment l'atteinte à la sécurité routière, la gravité de la faute, les antécédents en tant que conducteur ainsi que la nécessité professionnelle de conduire un véhicule automobile. La durée minimale ne peut toutefois être réduite.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 prescrit par cette norme.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b)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w:t>
      </w:r>
    </w:p>
    <w:p>
      <w:r>
        <w:t>Tribunal cantonal TC Page 8 de 8 c) En l'espèce, la nécessité professionnelle invoquée par le recourant ne pourrait pas conduire à une réduction de la durée de retrait prononcée par la CMA qui s'en est tenue au minimum légal.</w:t>
      </w:r>
    </w:p>
    <w:p>
      <w:r>
        <w:rPr>
          <w:b/>
        </w:rPr>
        <w:t>E. 6</w:t>
      </w:r>
    </w:p>
    <w:p>
      <w:r>
        <w:t>a) Pour l'ensemble des motifs qui précèdent, il faut constater que la décision de la CMA, conforme aux principes de la légalité et de la proportionnalité, échappe à la critique et doit être confirmée. Partant, le recours doit être rejeté. b) Vu l'issue du recours, les frais de procédure doivent être mis à la charge du recourant qui succombe (art. 131 CPJA). Pour cette même raison, il n'a pas droit à une indemnité de partie (art. 137 al. 1 CPJA). la Cour arrête: I. Le recours est rejeté. Partant, la décision du 26 novembre 2015 est confirmée. II. Les frais de procédure, par CHF 600.-,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octobre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