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191 vom 14. Oktober 2016</w:t>
      </w:r>
    </w:p>
    <w:p>
      <w:r>
        <w:t>FR Kantonsgericht, 2016-10-14, DE</w:t>
      </w:r>
    </w:p>
    <w:p>
      <w:r>
        <w:rPr>
          <w:b/>
        </w:rPr>
        <w:t xml:space="preserve">Quelle: </w:t>
      </w:r>
      <w:r>
        <w:t>https://mcp.opencaselaw.ch/entscheid/fr_gerichte_603_2015_191</w:t>
      </w:r>
    </w:p>
    <w:p>
      <w:r>
        <w:t>FR: FR_GERICHTE 603 2015 191 du 14 octobre 2016</w:t>
      </w:r>
    </w:p>
    <w:p>
      <w:r>
        <w:t>IT: FR_GERICHTE 603 2015 191 del 14 ottobre 2016</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les délais et les formes prescrits (art. 79 ss du code cantonal du 23 mai 1991 de procédure et de juridiction administrative, CPJA; RSF 150.1) - l'avance des frais de procédure ayant en outre été effectuée en temps utile - le recours est recevable dans la forme. Le Tribunal cantonal peut par conséquent entrer en matière sur ses mérites.</w:t>
      </w:r>
    </w:p>
    <w:p>
      <w:r>
        <w:rPr>
          <w:b/>
        </w:rPr>
        <w:t>E. 2</w:t>
      </w:r>
    </w:p>
    <w:p>
      <w:r>
        <w:t>a) 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S’agissant de questions purement juridiques, comme celle de la gravité de la faute, l’autorité administrative n’est pas liée par l’appréciation du juge pénal (cf. ATF 124 II consid. 3c/aa; 115 Ib 163 consid. 2a; arrêts TC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b) Dans le cas d’espèce, les arguments soulevés par le recourant dans la présente procédure à propos des circonstances dans lesquelles il a commis l'infraction qui lui est reprochée, lui qui nie en effet avoir eu connaissance du fait que la durée du retrait de permis incluait également le 30 septembre 2015 et, partant, avoir délibérément circulé sous le coup d’un retrait de permis le 30 septembre 2015, ont été invoqués dans le cadre de son opposition à l’ordonnance pénale. Cette ordonnance a été confirmée par le Juge pénal dans son jugement du 14 avril 2016, jugement qui est entré en force, faute d'avoir été attaqué. Ce jugement établit la conduite sous le coup d'un retrait, telle que retenue par la CMA dans la décision attaquée. Dans ces conditions, rien ne justifie de se distancier des considérations de fait émises par le Juge pénal, lesquelles confirment la thèse de la CMA. Il faut ainsi considérer comme établi que le recourant ne pouvait pas ignorer qu'il circulait au volant d'un véhicule alors qu'il était encore sous le coup d'un retrait de permis le 30 septembre 2015. Partant, le recourant a violé l'art. 16c al. 1 let. f LCR, qui prescrit que la personne qui conduit un véhicule automobile alors que le permis de conduire lui a été retiré commet une infraction grave. Une mesure administrative devait dès lors être prononcée à son encontre. Tribunal cantonal TC Page 4 de 5</w:t>
      </w:r>
    </w:p>
    <w:p>
      <w:r>
        <w:rPr>
          <w:b/>
        </w:rPr>
        <w:t>E. 3</w:t>
      </w:r>
    </w:p>
    <w:p>
      <w:r>
        <w:t>a) Selon l'art. 16c al. 2 LCR, après une infraction grave, le permis d'élève conducteur ou le permis de conduire est retiré:  pour trois mois au minimum (let. a); 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(let. abis);  pour six mois au minimum si, au cours des cinq années précédentes, le permis a été retiré une fois en raison d'une infraction moyennement grave (let. b);  pour douze mois au minimum si, au cours des cinq années précédentes, le permis a été retiré une fois en raison d'une infraction grave ou à deux reprises en raison d'infractions moyennement graves (let. c); 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(let. d);  définitivement si, au cours des cinq années précédentes, le permis a été retiré en application de la let. d ou de l'art. 16b al. 2 let. e (let. e); Pour fixer la durée du retrait du permis d'élève conducteur ou du permis de conduire, l'art. 16 al. 3 LCR exige que l'ensemble des circonstances soit pris en considération, notamment l'atteinte à la sécurité routière, la gravité de la faute, les antécédents en tant que conducteur ainsi que la nécessité professionnelle de conduire un véhicule automobile. La durée minimale ne peut toutefois être réduite.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Ainsi, même les bons antécédents d'un conducteur ne permettent pas de réduire la durée du retrait du permis de conduire en dessous du minimum légal (arrêts TF 1C 83/2008 du 16 octobre 2008 consid. 2.2; 1C_504/2011 du 17 avril 2012 consid. 2.6). b) En l’occurrence, dans les cinq dernières années, le recourant s’est vu retirer à une reprise son permis de conduire, par décision du 27 mai 2015 - précisément encore en cours d'exécution lorsque se sont déroulés les faits qui lui sont ici reprochés -, en raison d’une infraction qualifiée de moyennement grave. Aussi la mesure de retrait prononcée en application de l’art. 16c al. 2 let. b LCR par l’autorité intimée est-elle justifiée par les éléments de droit et de fait ressortant du dossier. En prononçant le retrait de permis pour une durée de six mois, la CMA s’en est tenue au minimum prévu par la disposition légale et ne pouvait aller en-dessous de ce seuil. Sa décision ne souffre ainsi manifestement pas la critique. Tribunal cantonal TC Page 5 de 5</w:t>
      </w:r>
    </w:p>
    <w:p>
      <w:r>
        <w:rPr>
          <w:b/>
        </w:rPr>
        <w:t>E. 4</w:t>
      </w:r>
    </w:p>
    <w:p>
      <w:r>
        <w:t>a) Pour l’ensemble des motifs exposés ci-dessus, le recours doit être rejeté et la décision attaquée confirmée. b) Les frais de procédure doivent être mis à la charge du recourant qui succombe, conformément à l’art. 131 CPJA. la Cour arrête: I. Le recours est rejeté. II. Les frais de procédure, par CHF 600.-, sont mis à la charge du recourant et compensés avec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octobre 2016/ape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