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188 vom 16. März 2016</w:t>
      </w:r>
    </w:p>
    <w:p>
      <w:r>
        <w:t>FR Kantonsgericht, 2016-03-16, DE</w:t>
      </w:r>
    </w:p>
    <w:p>
      <w:r>
        <w:rPr>
          <w:b/>
        </w:rPr>
        <w:t xml:space="preserve">Quelle: </w:t>
      </w:r>
      <w:r>
        <w:t>https://mcp.opencaselaw.ch/entscheid/fr_gerichte_603_2015_188</w:t>
      </w:r>
    </w:p>
    <w:p>
      <w:r>
        <w:t>FR: FR_GERICHTE 603 2015 188 du 16 mars 2016</w:t>
      </w:r>
    </w:p>
    <w:p>
      <w:r>
        <w:t>IT: FR_GERICHTE 603 2015 188 del 16 marzo 2016</w:t>
      </w:r>
    </w:p>
    <w:p>
      <w:pPr>
        <w:pStyle w:val="Heading2"/>
      </w:pPr>
      <w:r>
        <w:t>Regeste</w:t>
      </w:r>
    </w:p>
    <w:p>
      <w:r>
        <w:t>Entscheid des III. Verwaltungsgerichtshof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w:t>
      </w:r>
    </w:p>
    <w:p>
      <w:r>
        <w:t>Kantonsgericht KG Seite 4 von 8 unvollständige Feststellung des rechtserheblichen Sachverhalts gerügt werden. Die Rüge der Unangemessenheit ist vorliegend ausgeschlossen (Art. 77 f. VRG).</w:t>
      </w:r>
    </w:p>
    <w:p>
      <w:r>
        <w:rPr>
          <w:b/>
        </w:rPr>
        <w:t>E. 3</w:t>
      </w:r>
    </w:p>
    <w:p>
      <w:r>
        <w:t>a) 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Ebenso kann (ausnahmsweise) eine Bindung der Administrativbehörde in Bezug auf die rechtliche Qualifikation bestehen, wenn diese stark von der Würdigung der Tatsachen abhängt, die das Strafgericht besser kennt, etwa weil es den Beschuldigten persönlich einvernommen hat (BGE 124 II 103 E. 1c; Urteil BGer 1C_224/2010 vom</w:t>
      </w:r>
    </w:p>
    <w:p>
      <w:r>
        <w:rPr>
          <w:b/>
        </w:rPr>
        <w:t>E. 6</w:t>
      </w:r>
    </w:p>
    <w:p>
      <w:r>
        <w:t>a) Es ist deshalb nachfolgend zu prüfen, ob die Vorinstanz mit der angefochtenen Verfügung den Beschwerdeführer zu Recht verwarnt hat. b) 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w:t>
      </w:r>
    </w:p>
    <w:p>
      <w:r>
        <w:t>Kantonsgericht KG Seite 7 von 8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Nur in besonders leichten Fällen kann nach Art. 16a Abs. 4 SVG auf jegliche Massnahmen verzichtet werden. Ein besonders leichter Fall liegt dann vor, wenn die Verletzung von Verkehrsregeln eine besonders geringe Gefahr für die Sicherheit anderer geschaffen hat und den fehlbaren Fahrzeuglenker dafür nur ein besonders leichtes Verschulden trifft (Urteil BGer 6A.52/2005 vom 2. Dezember 2005 E. 2.2.3). Die Auslegung des besonders leichten Falles orientiert sich an den Verkehrsregelverletzungen, die nach dem OBG erledigt werden und ebenfalls keine Administrativmassnahmen nach sich ziehen (Urteil BGer 1C_406/2010 vom 29. November 2010 E. 4.2). Der Anwendungsbereich der Norm wurde jedoch in der Praxis nahezu auf Null reduziert (WEISSENBERGER, Kommentar SVG und OBG, 2. Aufl. 2015, Art. 16a N. 33). c) Vorliegend hat der Beschwerdeführer durch sein Verhalten – indem er während der Fahrt mit seinem Personenwagen in D.________, bei der Ortsausfahrt in Richtung E.________, ein Navigationsgerät oder ein Mobiltelefon auf dem Lenkrad in der Hand gehalten hat, welches er (bei schlechten Lichtverhältnissen) zum navigieren brauchte – eine Gefahr im Sinne einer erhöhten abstrakten Gefährdung für andere Verkehrsteilnehmer geschaffen und zwar unabhängig davon, wie übersichtlich der fragliche Streckenabschnitt ist, und obwohl er in seinen Eingaben darlegt, dass er ein sehr guter Autofahrer sei. Eine konkrete Gefährdung ist hingegen nicht dargetan. Bei dieser Beweislage kann dem Beschwerdeführer nur die Verursachung einer geringen Gefährdung vorgehalten werden. Sodann ist die mangelnde Aufmerksamkeit des Beschwerdeführers verschuldensmässig noch als leicht einzustufen, zumal er offenbar grundsätzlich ein vorsichtiger Autofahrer ist, welcher sich durchaus bewusst ist, dass er beispielsweise während der Fahrt das Navigationsgerät nicht programmieren darf. Indes kann – obwohl im Strafurteil eine Busse von lediglich CHF 100.- ausgesprochen wurde – nicht davon ausgegangen werden, dass es sich vorliegend um einen besonders leichten Fall handelt: Aus dem Strafurteil ist nicht ersichtlich, weshalb die Übertretungsbusse so tief ausfiel. Dass die Staatsanwaltschaft davon ausging, dass durch die fragliche Widerhandlung nur eine besonders geringe Gefahr für die Sicherheit anderer geschaffen wurde und gleichzeitig den Beschwerdeführer dafür nur ein besonders leichtes Verschulden trifft, geht aus dem Strafurteil nicht hervor und auch sonst liegen keine Anhaltspunkte vor, welche diesen Schluss indizieren. Dementsprechend ist kein besonders leichter Fall gemäss Art. 16a Abs. 4 SVG gegeben, bei dem ausnahmsweise auf jegliche Massnahmen zu verzichten wäre, zumal – wie erwähnt – der Anwendungsbereich dieser Norm in der Praxis beinahe auf Null reduziert ist.</w:t>
      </w:r>
    </w:p>
    <w:p>
      <w:r>
        <w:rPr>
          <w:b/>
        </w:rPr>
        <w:t>E. 7</w:t>
      </w:r>
    </w:p>
    <w:p>
      <w:r>
        <w:t>Im Ergebnis erweist sich damit die Verfügung der Vorinstanz vom 15. Oktober 2015, mit welcher der Beschwerdeführer verwarnt wurde, als gerechtfertigt. Die Beschwerde ist folglich abzuweisen und die Verfügung der Vorinstanz ist zu bestätigen.</w:t>
      </w:r>
    </w:p>
    <w:p>
      <w:r>
        <w:t>Kantonsgericht KG Seite 8 von 8</w:t>
      </w:r>
    </w:p>
    <w:p>
      <w:r>
        <w:rPr>
          <w:b/>
        </w:rPr>
        <w:t>E. 8</w:t>
      </w:r>
    </w:p>
    <w:p>
      <w:r>
        <w:t>Die 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März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