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174 vom 24. November 2015</w:t>
      </w:r>
    </w:p>
    <w:p>
      <w:r>
        <w:t>FR Kantonsgericht, 2015-11-24, FR</w:t>
      </w:r>
    </w:p>
    <w:p>
      <w:r>
        <w:rPr>
          <w:b/>
        </w:rPr>
        <w:t xml:space="preserve">Quelle: </w:t>
      </w:r>
      <w:r>
        <w:t>https://mcp.opencaselaw.ch/entscheid/fr_gerichte_603_2015_174</w:t>
      </w:r>
    </w:p>
    <w:p>
      <w:r>
        <w:t>FR: FR_GERICHTE 603 2015 174 du 24 novembre 2015</w:t>
      </w:r>
    </w:p>
    <w:p>
      <w:r>
        <w:t>IT: FR_GERICHTE 603 2015 174 del 24 novembre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le 16 octobre 2015 contre une décision du 1er octobre 2015, le recours l'a été dans le délai et les formes prescrits aux art. 79 à 81 du code fribourgeois du 23 mai 1991 de procédure et de juridiction administrative (CPJA; RSF 150.1). L'avance de frais a été déposée dans le terme fixé (art. 128 CPJA). Le Tribunal cantonal peut donc entrer en matière sur les mérites du recours.</w:t>
      </w:r>
    </w:p>
    <w:p>
      <w:r>
        <w:rPr>
          <w:b/>
        </w:rPr>
        <w:t>E. 2</w:t>
      </w:r>
    </w:p>
    <w:p>
      <w:r>
        <w:t>a) Selon la doctrine et la jurisprudence, l'autorité administrative appelée à se prononcer sur l'existence d'une infraction ne doit en principe pas s'écarter des constatations de fait et des qualifications juridiques retenues par le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IVe éd., 1991, n° 38). S'agissant de questions purement juridiques, comme celle de la gravité de la faute, l'autorité administrative n'est pas liée par l'appréciation du juge pénal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et la faute commise. La sanction en est une mesure d'admonestation ou de sécurité. En revanche, les dispositions pénales des art. 90 et 91 LCR mettent l'accent sur la faute du conducteur et exigent une appréciation du point de vue subjectif (RJN 1990 p. 203 consid. 2b; ATF 115 Ib 163 consid. 2a; arrêt TC FR 603 2014 84 du 30 mars 2015 consid. 2 et 3A 06 144 du 23 janvier 2007 consid. 6a).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b) En l'occurrence, par ordonnance du 28 septembre 2015, le recourant a été condamné pénalement; non contesté, ce jugement est entré en force. Il convient d'emblée de relever que, dans son recours, l'intéressé n'invoque aucun élément qu'il n'aurait pu faire valoir dans le cadre d'un recours contre le jugement pénal.</w:t>
      </w:r>
    </w:p>
    <w:p>
      <w:r>
        <w:t>Tribunal cantonal TC Page 4 de 7 Or, il ressort de ce jugement que le recourant a circulé sans observer la limitation de vitesse maximale générale de 50 km/h signalée en localité et à une vitesse inadaptée à la configuration des lieux. En outre, en violant les devoirs d’une personne impliquée dans un accident, il ne s’est pas immédiatement arrêté et n’a pas entrepris les mesures de sécurité appropriées alors que de l’huile était répandue sur la chaussée. Dans la mesure où le recourant a l’obligation de défendre ses droits devant les autorités pénales et qu'il n'a pas remis en cause ce jugement, on doit tenir ces faits pour établis. On peut en outre soulever que, même dans le cadre du recours, l’intéressé reconnaît implicitement avoir roulé à une "haute" vitesse en franchissant le ralentisseur. Il ressort par ailleurs du rapport de police et des propres déclarations du recourant que celui-ci s’était aperçu immédiatement après l’accident que de l’huile s'échappait de sa voiture; il l’aurait vue dans le rétroviseur. Le Tribunal relève encore que le recourant indique que le ralentisseur n’était pas signalé sur le sol; or, selon les photographies produites, cette remarque concerne manifestement la fin du rehaussement de la chaussée et non le début de celui-ci.</w:t>
      </w:r>
    </w:p>
    <w:p>
      <w:r>
        <w:rPr>
          <w:b/>
        </w:rPr>
        <w:t>E. 3</w:t>
      </w:r>
    </w:p>
    <w:p>
      <w:r>
        <w:t>a) L’art. 27 al. 1 LCR prévoit que chacun se conformera aux signaux et aux marques ainsi qu'aux ordres de la police. Les signaux et les marques priment les règles générales; les ordres de la police ont le pas sur les règles générales, les signaux et les marques. Aux termes de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Selon l’art. 4a al. 1 let. a de l’ordonnance fédérale du 13 novembre 1962 sur les règles de la circulation routière (OCR; RS 741.11), la vitesse maximale générale des véhicules peut atteindre 50 km/h dans les localités, lorsque les conditions de la route, de la circulation et de visibilité sont favorables. L’art. 51 LCR prévoit qu’en cas d'accident où sont en cause des véhicules automobiles ou des cycles, toutes les personnes impliquées devront s'arrêter immédiatement. Elles sont tenues d'assurer, dans la mesure du possible, la sécurité de la circulation. L’art. 54 al. 1 OCR précise à ce sujet que, lorsque des obstacles ou d’autres dangers résultent d’un accident, d’une panne de véhicule, de marchandises ou d’huile répandues sur la chaussée, etc., les personnes impliquées, passagers compris, prendront immédiatement les mesures de sécurité appropriées. L’alinéa 2 de cette disposition prescrit que la police doit être avisée sans délai lorsqu’un danger ne peut être immédiatement écarté, notamment chaque fois que l’écoulement d’un liquide pourrait polluer une rivière, un lac ou des eaux souterraines. b) Au vu de l'état de fait retenu, la violation des dispositions légales précitées est établie. Une mesure administrative devait dès lors être prononcée.</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w:t>
      </w:r>
    </w:p>
    <w:p>
      <w:r>
        <w:t>Tribunal cantonal TC Page 5 de 7 Enfin, à teneur de l'art. 16c al. 1 let. a LCR, commet une infraction grave la personne qui, en violant gravement les règles de la circulation, met sérieusement en danger la sécurité d'autrui ou en prend le risque. Ainsi, la loi fait la distinction entre: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w:t>
      </w:r>
    </w:p>
    <w:p>
      <w:r>
        <w:t>Tribunal cantonal TC Page 6 de 7 qui, sans être totalement excusable, bénéficie des circonstances atténuantes, voire relève carrément d’une certaine malchance" (MIZEL, Les nouvelles dispositions légales sur le retrait du permis de conduire, in RDAF 2004, p. 376). b) En l'espèce, force est de constater que, quelles que soient les explications qu'il donne, le recourant a circulé à une vitesse sans aucun doute inadaptée à la configuration des lieux et à celle de son propre véhicule. Conscient de son châssis abaissé, il aurait dû être encore plus prudent en franchissant un ralentisseur de trafic. Il importe peu que la fin du rehaussement de la chaussée n’ait pas spécialement été indiquée; en faisant preuve de l’attention qu’on aurait pu attendre de lui, il devait manifestement remarquer qu’il avait franchi un ralentisseur. De plus, il affirme lui-même avoir roulé à une vitesse se situant entre 50 et 60 km/h, soit en-dessus de celle autorisée à l’intérieur d’une localité. Au vu des déclarations qu’il a faites auprès de la police, le recourant avait en outre constaté les dégâts résultant du choc avec le sol, puisqu'il affirme qu’il a, en regardant dans son rétroviseur, vu de l’huile sur la chaussée. Néanmoins, il n'a non seulement pas sécurisé les lieux, mais a continué sa route sur un kilomètre et stationné sa voiture sur une bouche d’eau. Ce faisant, il a sciemment laissé la chaussée dans un état qui a augmenté les risques pour les autres usagers de la route au lieu même de l’accident, mais également sur une longue distance (un kilomètre). Le Tribunal relève encore que le législateur a explicitement mentionné le cas où de l’huile est répandue sur la chaussée, ce qui démontre l’importance qu'il faut attacher à cette situation. En effet, la surface de la route doit permettre un freinage sans problème. En outre, la stabilité des cyclistes et motocyclistes est gravement compromise s'ils roulent sur de l’huile, ce qui augmente manifestement le risque d’accident. Par ailleurs, en stationnant sa voiture sur une bouche d’eau, le recourant a pris le risque que des eaux claires soient souillées. Par son comportement, il a ainsi enfreint plusieurs règles de la circulation routière, ce qui augmente la gravité de la faute commise. Enfin, sont également déterminants les antécédents du recourant qui ne sont pas bons; il a été sanctionné à deux reprises pour des fautes moyennement graves en 2012 et 2014. Partant, en estimant que le cas devait être considéré comme moyennement grave au sens de l'art. 16b al. 1 let. a LCR, l'autorité intimée n'a indéniablement pas violé la loi ni commis un excès ou un abus de son pouvoir d'appréciation.</w:t>
      </w:r>
    </w:p>
    <w:p>
      <w:r>
        <w:rPr>
          <w:b/>
        </w:rPr>
        <w:t>E. 5</w:t>
      </w:r>
    </w:p>
    <w:p>
      <w:r>
        <w:t>a) A teneur de l'art. 16b al. 2 let. b LCR, l'autorité qui retire un permis de conduire ou un permis d'élève conducteur fixera la durée du retrait pour quatre mois au minimum si, au cours des deux années précédentes, le permis a été retiré une fois en raison d'une infraction grave ou moyennement grave.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En l'espèce, le recourant s'est vu retirer son permis de conduire à une reprise pour faute moyennement grave durant les deux années précédant la commission de la présente infraction. La dernière sanction a été exécutée jusqu'au 2 mai 2014.</w:t>
      </w:r>
    </w:p>
    <w:p>
      <w:r>
        <w:t>Tribunal cantonal TC Page 7 de 7 Par conséquent, c'est à bon droit que l'autorité intimée a prononcé, pour sanctionner la nouvelle faute commise, un retrait de quatre mois du permis de conduire du recourant. Vu le prescrit de l'art. 16 al. 3 LCR, cette durée incompressible de quatre mois ne peut pas être réduite, pour quelque motif que ce soit. c) L'art. 15 al. 3 LCR prescrit en outre que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La CMA a prononcé cette sanction en l'espèce, laquelle n'a à juste titre pas été remise en cause par l’intéressé.</w:t>
      </w:r>
    </w:p>
    <w:p>
      <w:r>
        <w:rPr>
          <w:b/>
        </w:rPr>
        <w:t>E. 6</w:t>
      </w:r>
    </w:p>
    <w:p>
      <w:r>
        <w:t>a) Pour l'ensemble des motifs qui précèdent, la décision de la CMA, conforme aux principes de la légalité et de la proportionnalité, échappe à la critique et doit être confirmée. Partant, le recours doit être rejeté. b) Le recourant ayant succombé, les frais de procédure sont mis à sa charge conformément à l'art. 131 CPJA. la Cour arrête: I. Le recours est rejeté. Partant, la décision de la CMA du 1er octobre 2015 est confirmée. II. Les frais de procédure, par CHF 600.-, sont mis à la charge du recourant. Ils sont compensés avec l'avance effectuée.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novembre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