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84 vom 3. März 2015</w:t>
      </w:r>
    </w:p>
    <w:p>
      <w:r>
        <w:t>FR Kantonsgericht, 2015-03-03, FR</w:t>
      </w:r>
    </w:p>
    <w:p>
      <w:r>
        <w:rPr>
          <w:b/>
        </w:rPr>
        <w:t xml:space="preserve">Quelle: </w:t>
      </w:r>
      <w:r>
        <w:t>https://mcp.opencaselaw.ch/entscheid/fr_gerichte_603_2014_84</w:t>
      </w:r>
    </w:p>
    <w:p>
      <w:r>
        <w:t>FR: FR_GERICHTE 603 2014 84 du 3 mars 2015</w:t>
      </w:r>
    </w:p>
    <w:p>
      <w:r>
        <w:t>IT: FR_GERICHTE 603 2014 84 del 3 marzo 2015</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(art. 79 ss du code de procédure et de juridiction administrative; CPJA; RSF 150.1) - l'avance des frais de procédure ayant en outre été versée en temps utile - le recours est recevable à la forme et la Cour de céans peut en examiner les mérites.</w:t>
      </w:r>
    </w:p>
    <w:p>
      <w:r>
        <w:rPr>
          <w:b/>
        </w:rPr>
        <w:t>E. 2</w:t>
      </w:r>
    </w:p>
    <w:p>
      <w:r>
        <w:t>a) Selon la doctrine et la jurisprudence, l'autorité administrative appelée à se prononcer sur l'existence d'une infraction ne doit en principe pas s'écarter des constatations de fait et des qualifications juridiques retenu par le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du Tribunal fédéral 6A.100/2006 du 28 mars 2007 et les références citées; B. KNAPP, Précis de droit administratif, IVe éd., Bâle 1991, n° 38). S'agissant de questions purement juridiques, comme celle de la gravité de la faute, l'autorité administrative n'est pas liée par l'appréciation du juge pénal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et la faute commise. La sanction en est une mesure d'admonestation ou de sécurité. En revanche, les dispositions pénales des art. 90 et 91 LCR mettent l'accent sur la faute du conducteur et exigent une appréciation du point de vue subjectif (RJN 1990 p. 203 consid. 2b; ATF 115 Ib 163 consid. 2a; ATC 3A 06 84 du 2 novembre 2006 consid. 4d; ATC 3A 06 144 du 23 janvier 2007 consid. 6a).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w:t>
      </w:r>
    </w:p>
    <w:p>
      <w:r>
        <w:t>Tribunal cantonal TC Page 4 de 8 b) En l'occurrence, la présente procédure a été suspendue jusqu'à droit connu sur le plan pénal et le recourant a été avisé de son devoir de défendre tous ses droits devant les autorités pénales. Or, par jugement du 18 décembre 2014, il a été condamné pénalement et, non contesté, ce jugement est entré en force. Les parties ont eu l'occasion de déposer leur détermination avant que le présent arrêt ne soit rendu. On retiendra d'entrée que, dans son recours, l'intéressé n'invoque aucun élément qu'il n'aurait pu faire valoir dans le cadre d'un recours contre le jugement pénal. Or, il ressort du jugement pénal que: "(…) la Juge de police donnera foi à la version des agents D.________ et E.________. Premièrement, les agents appelés à témoigner ont confirmé leur rapport et ont expliqué de quelle manière ils avaient constaté l'infraction. Ils ont été catégoriques: A.________ avait bel et bien reconnu les faits et avait articulé des estimations de distances similaires aux leurs. Les policiers ont en particulier précisé que leur intervention était inévitable en raison de la violation grossière commise par le prévenu. Quant à A.________, il n'a pas réellement contesté la véracité du rapport, mais a plutôt indiqué qu'il n'en avait compris la portée que plus tard, notamment en discutant avec son avocate. Deuxièmement, A.________ n'est pas crédible lorsqu'il soutient qu'il est incapable de se rendre compte de ce que représente une distance de 10 mètres et n'avoir ainsi pas pu estimer correctement la distance qu'il observait. Finalement, il appert que le prévenu a d'abord reconnu les faits, puis, devant les conséquences qui s'en sont suivies, tente aujourd'hui de faire marche arrière et de remettre en question ses premières déclarations. Partant la Juge de police retient que, le 2 février 2014, vers 19h00, alors qu'il circulait sur l'autoroute à une vitesse de 120 km/h, A.________ n'a pas respecté une distance de sécurité suffisante par rapport à la voiture qu'il suivait. A l'approche de la sortie de C.________, il s'est ensuite rabattu à une distance d'environ</w:t>
      </w:r>
    </w:p>
    <w:p>
      <w:r>
        <w:rPr>
          <w:b/>
        </w:rPr>
        <w:t>E. 5</w:t>
      </w:r>
    </w:p>
    <w:p>
      <w:r>
        <w:t>a) A teneur de l'art. 16c al. 2 let. a LCR, après une infraction grave, le permis d'élève conducteur ou le permis de conduire est retiré pour trois mois au minimum.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La règle de l'art. 16 al. 3, dernière phrase,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b) En fixant à trois mois la durée du retrait, l'autorité intimée s'en est tenue à la durée minimale légale prévue par cette disposition; cette durée ne peut par conséquent pas être réduite pour quelque raison que ce soit. Dans ces conditions, le besoin professionnel invoqué par le recourant – représentant – ne peut pas être pris en considération.</w:t>
      </w:r>
    </w:p>
    <w:p>
      <w:r>
        <w:rPr>
          <w:b/>
        </w:rPr>
        <w:t>E. 6</w:t>
      </w:r>
    </w:p>
    <w:p>
      <w:r>
        <w:t>Pour l'ensemble des motifs qui précèdent, il faut constater que la CMA n'a pas commis d'excès ou d'abus de son pouvoir d'appréciation, ni violé le principe de la légalité. Sa décision doit dès lors être confirmée et le recours rejeté.</w:t>
      </w:r>
    </w:p>
    <w:p>
      <w:r>
        <w:rPr>
          <w:b/>
        </w:rPr>
        <w:t>E. 7</w:t>
      </w:r>
    </w:p>
    <w:p>
      <w:r>
        <w:t>a) Les frais de procédure sont mis à sa charge du recourant qui succombe, conformément à l'art. 131 CPJA et aux art. 1 et 2 du Tarif sur les frais de procédure et des indemnités en matière de juridiction administrative (RSF 150.12). b) Pour le même motif, le recourant n'a pas droit à une indemnité de partie (art. 137 CPJA).</w:t>
      </w:r>
    </w:p>
    <w:p>
      <w:r>
        <w:t>Tribunal cantonal TC Page 8 de 8 la Cour arrête: I. Le recours est rejeté. Partant, la décision rendue le 20 mars 2014 par la CMA est confirmée. II. Les frais de procédure, par 600 francs, sont mis à la charge du recourant. Ils sont compensés avec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 mars 2015/JFR/vth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