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232 vom 21. August 2015</w:t>
      </w:r>
    </w:p>
    <w:p>
      <w:r>
        <w:t>FR Kantonsgericht, 2015-08-21, DE</w:t>
      </w:r>
    </w:p>
    <w:p>
      <w:r>
        <w:rPr>
          <w:b/>
        </w:rPr>
        <w:t xml:space="preserve">Quelle: </w:t>
      </w:r>
      <w:r>
        <w:t>https://mcp.opencaselaw.ch/entscheid/fr_gerichte_603_2014_232</w:t>
      </w:r>
    </w:p>
    <w:p>
      <w:r>
        <w:t>FR: FR_GERICHTE 603 2014 232 du 21 août 2015</w:t>
      </w:r>
    </w:p>
    <w:p>
      <w:r>
        <w:t>IT: FR_GERICHTE 603 2014 232 del 21 agosto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 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sowie zur Bezahlung des Kostenvor- schusses wurden gewahrt. Die Beschwerde erfüllt inhaltlich sowie formal die gesetzlichen Voraus- setzungen (Art. 80 f. VRG).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Abs. 1 VRV e contrario) und kann nicht zu einem Administrativverfahren führen. Er fällt somit für die Beurteilung der vorliegenden Angelegenheit ausser Betracht. Allerdings bestreitet der Beschwerdeführer, während des Telefonierens mehrmals auf den Schreibblock geblickt zu haben. Er habe ein einziges Mal zu einem Kontrollzweck nur kurz auf ein Kuvert geschaut. Wie es sich tatsächlich verhielt, ist einerlei. Wesentlich ist, dass der Beschwer- deführer wegen einer unerlaubten Verrichtung, welche die Bedienung des Fahrzeugs erschwerte, rechtskräftig verurteilt wurde. Demnach ist die Voraussetzung für den Erlass einer Administrativ- massnahme, nämlich die Verletzung von Verkehrsregeln, gegeben, was vom Beschwerdeführer auch gar nicht in Abrede gestellt wird.</w:t>
      </w:r>
    </w:p>
    <w:p>
      <w:r>
        <w:rPr>
          <w:b/>
        </w:rPr>
        <w:t>E. 4</w:t>
      </w:r>
    </w:p>
    <w:p>
      <w:r>
        <w:t>a) Das Gesetz unterscheidet zwischen leichten (Art. 16a SVG), mittelschweren (Art. 16b SVG) und schweren Widerhandlungen (Art. 16c SVG). Eine leichte Widerhandlung begeht, wer durch Verletzung von Verkehrsregeln eine geringe Gefahr für die Sicherheit anderer hervorruft und</w:t>
      </w:r>
    </w:p>
    <w:p>
      <w:r>
        <w:t>Kantonsgericht KG Seite 5 von 6 ihn dabei nur ein leichtes Verschulden trifft (Art. 16a Abs. 1 lit. a SVG).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Leichte und mittelschwere Widerhandlungen werden von Art. 90 Abs. 1 SVG als einfache Verkehrsregelverletzungen erfasst (BGE 135 II 138 E. 2.4). b) Der Beschwerdeführer hat über eine Strecke von etwa 600 Metern einen Schreibblock oder ein Kuvert in der Hand gehalten und nach seinen Aussagen lediglich einmal und nach jenen der Polizei mehrmals auf den Schreibblock oder das Kuvert geschaut. Seine Aufmerksamkeit war somit zeitweise nach unten gerichtet, was zur Folge hatte, dass er dabei seinen Blick nicht auf die Strasse und den Verkehr richtete, um allfällige Gefahren rechtzeitig zu erkennen. Er widmete der Strasse im fraglichen Abschnitt somit keine genügende Aufmerksamkeit, sondern war abgelenkt. Dadurch schuf er eine Gefahr im Sinn einer erhöhten abstrakten Gefährdung für andere Ver- kehrsteilnehmer und zwar unabhängig davon, wie übersichtlich der fragliche Streckenabschnitt ist. Dem Verzeigungsrapport der Kantonspolizei Bern ist immerhin zu entnehmen, dass damals star- kes Verkehrsaufkommen herrschte. Eine konkrete Gefährdung ist hingegen nicht dargetan. Bei dieser Beweislage kann ihm nur die Verursachung einer geringen Gefährdung vorgehalten wer- den. Sodann ist die mangelnde Aufmerksamkeit des Beschwerdeführers verschuldensmässig ge- rade noch als leicht einzustufen. Dementsprechend handelt es sich vorliegend noch um eine leichte Widerhandlung gemäss Art. 16a Abs. 1 lit. a SVG. Dieses Ergebnis lässt sich umso weniger beanstanden, als beispielsweise das Telefonieren während der Fahrt, sofern es nicht über eine Freisprecheinrichtung erfolgt, lediglich mit einer Ordnungsbusse von CHF 100.- geahndet wird (vgl. Ziff. 311 des Anhangs 1 [Bussenliste] zur Ordnungsbussenverordnung vom 4. März 1996 [BV; SR 741.031]). Diesfalls ist im Prinzip keine Administrativmassnahme anzuordnen (WEISSENBERGER, Kommentar zum Strassenverkehrsgesetz, Bundesgerichtspraxis, 2. Aufl. 2015, Art. 16 N. 23), da gestützt auf Art. 16 Abs. 2 SVG grundsätzlich der Führerausweis entzogen oder eine Verwarnung in Fällen ausgesprochen wird, bei denen das Verfahren nach dem Ordnungsbussengesetz vom 24. Juni 1970 (OBG; SR 741.03) ausgeschlossen ist.</w:t>
      </w:r>
    </w:p>
    <w:p>
      <w:r>
        <w:rPr>
          <w:b/>
        </w:rPr>
        <w:t>E. 5</w:t>
      </w:r>
    </w:p>
    <w:p>
      <w:r>
        <w:t>a) Hebt das Kantonsgericht eine Verfügung auf, so entscheidet es selbst in der Sache oder weist diese, nötigenfalls mit verbindlichen Weisungen, an die Vorinstanz zurück (Art. 98 Abs. 2 VRG). Im vorliegenden Fall konnten sich die Verfahrensbeteiligten im Rahmen Rechtsmittelverfah- rens ausführlich zur Streitsache äussern. Es ist daher aus prozessökonomischen Gründen ge- rechtfertigt, reformatorisch zu entscheiden. b) Nach einer leichten Widerhandlung wird der Führerausweis für mindestens einen Monat entzogen, wenn in den vergangenen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Bei der Festsetzung der Dauer des Führerausweisentzugs sind gemäss Art. 16 Abs. 3 SVG die Umstände des Einzelfalls zu berück- sichtigen, namentlich die Gefährdung der Verkehrssicherheit, das Verschulden, der Leumund als Motorfahrzeugführer sowie die berufliche Notwendigkeit, ein Motorfahrzeug zu führen. Die Min- destentzugsdauer darf jedoch nicht unterschritten werden. c) Dem Beschwerdeführer wurde der Führerausweis am 21. Juni 2012 für die Dauer eines Monats entzogen. Der Vollzug dieser Massnahme erfolgte vom 24. November bis zum 23. De- zember 2012. Es gelangt somit Art. 16a Abs. 2 SVG zur Anwendung, weshalb dem Beschwerde- führer der Führerausweis für mindestens einen Monat zu entziehen ist. Vorliegend besteht keine Veranlassung, über das gesetzliche Mindestmass von einem Monat hinauszugehen.</w:t>
      </w:r>
    </w:p>
    <w:p>
      <w:r>
        <w:t>Kantonsgericht KG Seite 6 von 6</w:t>
      </w:r>
    </w:p>
    <w:p>
      <w:r>
        <w:rPr>
          <w:b/>
        </w:rPr>
        <w:t>E. 6</w:t>
      </w:r>
    </w:p>
    <w:p>
      <w:r>
        <w:t>Nach dem Gesagten erweist sich die Beschwerde als begründet, weshalb sie gutzuheissen ist. Der angefochtene Entscheid wird insofern aufgehoben, als von einer leichten Widerhandlung auszugehen und die Entzugsdauer auf einen Monat festzusetzen ist.</w:t>
      </w:r>
    </w:p>
    <w:p>
      <w:r>
        <w:rPr>
          <w:b/>
        </w:rPr>
        <w:t>E. 7</w:t>
      </w:r>
    </w:p>
    <w:p>
      <w:r>
        <w:t>Der Beschwerdeführer ist obsiegende Partei, weshalb ihm keine Verfahrenskosten aufzuer- legen sind (Art. 131 Abs. 1 VRG) und der von ihm geleistete Kostenvorschuss zurückzuerstatten ist. Aus dem gleichen Grund hat er Anspruch auf eine Parteientschädigung (Art. 137 Abs. 1 VRG). Diese wird auf CHF 2'225.50 festgesetzt (Honorar: CHF 2'012.50; Auslagen: CHF 48.15; Mehr- wertsteuer: CHF 164.85); der Stundenansatz betrug bis 30. Juni 2015 CHF 230.- und nicht CHF 250.-. Der Vorinstanz können aufgrund von Art. 133 VRG keine Gerichtskosten auferlegt werden. Der Hof erkennt: I. Die Beschwerde wird gutgeheissen. Der Entscheid der Kommission für Administrativmassnahmen im Strassenverkehr vom 30. Oktober 2014 wird teilweise aufgehoben und insofern abgeändert, als dem Beschwerde- führer wegen einer leichten Widerhandlung gegen Verkehrsvorschriften der Führerausweis für die Dauer eines Monats entzogen wird. II. Es werden keine Gerichtskosten erhoben. Der vom Beschwerdeführer geleistete Kostenvorschuss von CHF 600.-- wird ihm zurück- erstattet. III. Die Kommission für Administrativmassnahmen im Strassenverkehr des Kantons Freiburg wird verpflichtet, Rechtsanwalt Giesser eine Parteientschädigung von CHF 2'225.50 (inkl. MwSt) zu bezahlen. IV.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Entscheids angefochten wird (Art. 148 VRG). Freiburg, 21. August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