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188 vom 13. November 2015</w:t>
      </w:r>
    </w:p>
    <w:p>
      <w:r>
        <w:t>FR Kantonsgericht, 2015-11-13, FR</w:t>
      </w:r>
    </w:p>
    <w:p>
      <w:r>
        <w:rPr>
          <w:b/>
        </w:rPr>
        <w:t xml:space="preserve">Quelle: </w:t>
      </w:r>
      <w:r>
        <w:t>https://mcp.opencaselaw.ch/entscheid/fr_gerichte_603_2014_188</w:t>
      </w:r>
    </w:p>
    <w:p>
      <w:r>
        <w:t>FR: FR_GERICHTE 603 2014 188 du 13 novembre 2015</w:t>
      </w:r>
    </w:p>
    <w:p>
      <w:r>
        <w:t>IT: FR_GERICHTE 603 2014 188 del 13 novembre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La recourante est touchée par la décision attaquée et a un intérêt digne de protection à ce qu'elle soit annulée ou modifiée. De plus, le recours a été interjeté dans le délai et les formes prescrits (art. 79 à 81 du code de procédure et de juridiction administrative; CPJA; RSF 150.1). L'avance de frais a en outre été versée en temps utile. Partant, le Tribunal peut entrer en matière sur les mérites du recours.</w:t>
      </w:r>
    </w:p>
    <w:p>
      <w:r>
        <w:rPr>
          <w:b/>
        </w:rPr>
        <w:t>E. 2</w:t>
      </w:r>
    </w:p>
    <w:p>
      <w:r>
        <w:t>a) Selon la doctrine, l'autorité administrative jouit vis-à-vis du juge pénal d'une totale indépendance. Toutefois, compte tenu du principe de l'unité et de la sécurité du droit, elle ne peut pas s'écarter sans motifs impérieux des constatations de fait contenues dans le jugement pénal si celles-ci sont le fruit d'une enquête approfondie avec rapport de police et auditions de témoins et s'il n'y a pas de raison de penser qu'elles sont inexactes ou incomplètes, si aucun moyen de preuve nouveau et pertinent n'est produit ou si aucun fait nouveau que le juge pénal ignorait ou a omis de prendre en compte, au moment où il a pris sa décision, n'est établi ou allégué (cf. PERRIN, Délivrance et retrait du permis de conduire, p. 212 ss; KNAPP, Précis de droit administratif, 4e éd., n. 38).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soit en mesure de fonder sa décision sur</w:t>
      </w:r>
    </w:p>
    <w:p>
      <w:r>
        <w:t>Tribunal cantonal TC Page 4 de 7 des constatations de fait inconnues du juge pénal, s'il existe des preuves nouvelles dont l'appréciation conduit à un autre résultat, si l'appréciation à laquelle s'est livré le juge pénal n'a pas élucidé toutes les questions de droit, en particulier celles qui touchent à la violation des règles de la circulation (ATF 119 Ib 158 = JdT 1994 I 676). Si la qualification juridique d'une situation dépend essentiellement de l'appréciation de l'état de fait, qu'en principe le juge pénal est mieux à même de connaître que l'autorité administrative, celle-ci est alors liée par les règles de droit que le juge pénal a appliquées (ATF 124 II 103 consid. 1 c; 104 Ib 359; 102 Ib 196). b) En l'espèce, par jugement du 6 juillet 2015, la recourante a été reconnue coupable de n’avoir pas fait preuve de toutes les précautions requises en s’engageant dans le giratoire et, en conséquence, de n’avoir pas vu le cycliste qui était déjà engagé et de n’avoir pas respecté sa priorité. Ce jugement est entré en force et l’intéressée ne peut invoquer dans la procédure administrative des circonstances particulières qu’elle aurait omis de faire valoir dans la procédure pénale. Partant, rien ne justifie de s’écarter des faits établis par le Juge pénal. Au surplus, il n’est pas contesté que le cycliste a chuté suite à un freinage d’urgence effectué pour éviter l’intéressée.</w:t>
      </w:r>
    </w:p>
    <w:p>
      <w:r>
        <w:rPr>
          <w:b/>
        </w:rPr>
        <w:t>E. 3</w:t>
      </w:r>
    </w:p>
    <w:p>
      <w:r>
        <w:t>a) L’art. 36 al. 2 LCR énonce la règle de principe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S’agissant des carrefours à sens giratoire, l'art. 41b al. 1 OCR prévoit une règle spécifique disposant qu’avant d'entrer dans un tel carrefour, le conducteur doit ralentir et accorder la priorité aux véhicules qui, sur sa gauche, surviennent dans le giratoire. L’art. 14 al. 1 OCR précise que celui qui est tenu d'accorder la priorité ne doit pas gêner dans sa marche le conducteur bénéficiaire de la priorité. Il réduira sa vitesse à temps et, s'il doit attendre, s'arrêtera avant le début de l'intersection. D’après la jurisprudence, un conducteur arrivant à un giratoire doit céder la priorité à tout véhicule sur sa gauche qu’il gênerait sur la surface de l’intersection s’il ne s’arrêtait pas, peu importe si l’autre usager est déjà engagé dans le rond point ou s’il vient d’une route se trouvant à gauche ou que ce soit avant, en même temps ou après lui (cf. ATF 115 IV 139, JdT 1989 I 703 n. 49) b) En l’occurrence, en s’engageant dans le giratoire sans avoir fait preuve de toutes les précautions requises envers le cycliste venant sur gauche, la recourante n’a pas cédé la priorité à celui-ci et a ainsi violé les règles précitées. Partant, il se justifiait que la CMA prononce une mesure administrative à son endroit.</w:t>
      </w:r>
    </w:p>
    <w:p>
      <w:r>
        <w:rPr>
          <w:b/>
        </w:rPr>
        <w:t>E. 4</w:t>
      </w:r>
    </w:p>
    <w:p>
      <w:r>
        <w:t>a) Lorsque la procédure prévue par la loi fédérale sur les amendes d’ordre n’est pas applicable – comme en l'espèce – une infraction aux prescriptions sur la circulation routière entraîne le retrait du permis d’élève-conducteur ou du permis de conduire ou un avertissement (art. 16 al. 2 LCR; cf. art. 2 de la loi sur les amendes d'ordre (LAO;741.03)).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peut être renoncé au retrait du permis du conducteur fautif au profit d'un avertissement seulement si, au cours des deux dernières</w:t>
      </w:r>
    </w:p>
    <w:p>
      <w:r>
        <w:t>Tribunal cantonal TC Page 5 de 7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arrêt du TF 6A.16/2006 du 6 avril 2006 consid. 2.1.1 in JdT 2006 I 442)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Trois critères permettent de distinguer les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b)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376). Cela étant, pour qu’un cas puisse être qualifié de peu de gravité, la faute du conducteur doit être légère et sa réputation en tant que conducteur doit être bonne. Ces conditions doivent être remplies cumulativement (ATF 128 II 282 consid. 3.3). c) Le respect des priorités est une règle essentielle des prescriptions en matière de circulation routière dont la violation ne saurait, en principe, constituer une faute légère (cf. entre autres arrêt TC FR 603 2013 323 du 30 avril 2015 consid. 5 et les références citées). Par rapport à l’existence d’une mise en danger, elle est concrète dès qu’il y a une probabilité sérieuse de réalisation effective et imminente du risque, à savoir une atteinte à l’intégrité physique ou à la vie d’un tiers. Cependant, il n’est pas nécessaire qu’un accident se soit réalisé; il suffit que la conduite de l’auteur oblige un autre usager déterminé à effectuer une brusque manœuvre de</w:t>
      </w:r>
    </w:p>
    <w:p>
      <w:r>
        <w:t>Tribunal cantonal TC Page 6 de 7 freinage pour empêcher une collision (MIZEL, Droit et pratique illustrée du retrait du permis de conduire, 2015, p.296 s et les références citées). d) En l'espèce, la recourante s’est engagée dans le giratoire sans avoir véritablement observé avec toute l’attention nécessaire si un véhicule survenait sur sa gauche. En effet, ainsi qu’elle l’a reconnu, elle ne s’est pas du tout rendu compte de la présence du cycliste arrivant de ce côté et, en raison de cette inattention, elle lui a coupé la priorité. Or, compte tenu du soleil qui était, selon ses propres dires, très éblouissant ce jour-là, elle aurait dû faire preuve d’une vigilance particulière et s'engager si nécessaire au pas dans le carrefour, en s'assurant à chaque moment qu'elle ne mettait pas en danger la circulation. En manquant à ce devoir et en ne respectant de ce fait pas la priorité dont bénéficiait le cycliste, la recourante a ainsi commis une faute qui ne relève pas de circonstances assimilables à la seule malchance; elle peut par conséquence être qualifiée de moyennement grave. Quant à l’existence d’une mise en danger, il faut constater qu’en raison de cette faute, la recourante a créé une situation dangereuse, entraînant une probabilité sérieuse de réalisation effective et imminente d’atteinte à l’intégrité physique de celui-ci. En effet, afin d’éviter une collision, le cycliste a été contraint à effectuer un freinage d’urgence et a chuté sur la chaussée. Par conséquent, il convient de retenir qu’il y a eu en l’occurrence une mise en danger concrète de la circulation. Partant, au regard du degré de gravité de la faute et de la mise en danger qui en a résulté, compte tenu également des excellents antécédents de la recourante depuis 1965, l’autorité intimée pouvait retenir que l’infraction commise était moyennement grave. Il était ainsi exclu de ne prononcer qu’un simple avertissement, au sens de l’art. 16a al. 1 LCR, comme le demande la recourante.</w:t>
      </w:r>
    </w:p>
    <w:p>
      <w:r>
        <w:rPr>
          <w:b/>
        </w:rPr>
        <w:t>E. 5</w:t>
      </w:r>
    </w:p>
    <w:p>
      <w:r>
        <w:t>a) En vertu de l'art. 16b al. 2 LCR, après une infraction moyennement grave, le permis d'élève conducteur ou le permis de conduire est retiré pour la durée d’un mois au minimum (let. a). L’art. 16 al. 3, 2ème phrase, LCR énonce que la durée minimale du retrait ne peut pas être réduite. b) En l’occurrence, en fixant à un mois la durée du retrait du permis de conduire de la recourante, la CMA s’en est tenue à la durée minimale prévue par l’art. 16b al. 2 let. a LCR. Cette durée ne pouvait être réduite pour quelque raison que ce soit (ATF 132 II 234 consid. 2.3). En particulier, le besoin professionnel de disposer du permis de conduire et les excellents antécédents de la recourante ne permettaient pas une telle réduction.</w:t>
      </w:r>
    </w:p>
    <w:p>
      <w:r>
        <w:rPr>
          <w:b/>
        </w:rPr>
        <w:t>E. 6</w:t>
      </w:r>
    </w:p>
    <w:p>
      <w:r>
        <w:t>a) Pour l’ensemble des motifs qui précèdent, la CMA n’a pas violé les principes de la légalité et de la proportionnalité, ni commis un abus ou un excès de son pouvoir d’appréciation, en prononçant le retrait de permis de la recourante pour la durée d’un mois. Sa décision doit ainsi être confirmée et le recours rejeté. b) Vu l'issue du recours, les frais de procédure doivent être mis à la charge de la recourante qui succombe, conformément à l'art. 131 al. 1 CPJA et aux art. 1 et 2 du Tarif sur les frais de procédure et des indemnités en matière de juridiction administrative (RSF 150.12). Pour la même raison, il n’est pas alloué d’indemnité de partie.</w:t>
      </w:r>
    </w:p>
    <w:p>
      <w:r>
        <w:t>Tribunal cantonal TC Page 7 de 7 la Cour arrête: I. Le recours est rejeté. Partant, la décision du 4 septembre 2014 de la Commission des mesures administratives en matière de circulation routière est confirmée. II. Les frais de procédure, par CHF 600.-, sont mis à la charge de la recourante.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novembre 2015/msu/cje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