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180 vom 3. März 2015</w:t>
      </w:r>
    </w:p>
    <w:p>
      <w:r>
        <w:t>FR Kantonsgericht, 2015-03-03, FR</w:t>
      </w:r>
    </w:p>
    <w:p>
      <w:r>
        <w:rPr>
          <w:b/>
        </w:rPr>
        <w:t xml:space="preserve">Quelle: </w:t>
      </w:r>
      <w:r>
        <w:t>https://mcp.opencaselaw.ch/entscheid/fr_gerichte_603_2014_180</w:t>
      </w:r>
    </w:p>
    <w:p>
      <w:r>
        <w:t>FR: FR_GERICHTE 603 2014 180 du 3 mars 2015</w:t>
      </w:r>
    </w:p>
    <w:p>
      <w:r>
        <w:t>IT: FR_GERICHTE 603 2014 180 del 3 marzo 2015</w:t>
      </w:r>
    </w:p>
    <w:p>
      <w:pPr>
        <w:pStyle w:val="Heading2"/>
      </w:pPr>
      <w:r>
        <w:t>Regeste</w:t>
      </w:r>
    </w:p>
    <w:p>
      <w:r>
        <w:t>Arrêt de la IIIe Cour administrative du Tribunal cantonal | Strassenverkehr und Transportwesen</w:t>
      </w:r>
    </w:p>
    <w:p>
      <w:pPr>
        <w:pStyle w:val="Heading2"/>
      </w:pPr>
      <w:r>
        <w:t>Erwägungen</w:t>
      </w:r>
    </w:p>
    <w:p>
      <w:r>
        <w:rPr>
          <w:b/>
        </w:rPr>
        <w:t>E. 1</w:t>
      </w:r>
    </w:p>
    <w:p>
      <w:r>
        <w:t>La recourante est touchée par la décision attaquée et a un intérêt digne de protection à ce qu'elle soit annulée ou modifiée. Selon l'acte de nomination du 4 février 2014 établi par la Justice de paix de l'arrondissement de C.________, elle a été placée sous curatelle d'accompagnement; elle dispose donc de l'exercice des droits civils et, partant, a la capacité d'ester. La qualité pour recourir doit donc lui être reconnue. Pour le reste, le recours a été interjeté dans le délai et les formes prescrits (art. 79 à 81 du code de procédure et de juridiction administrative; CPJA; RSF 150.1). L'avance de frais a en outre été versée en temps utile. Partant, le Tribunal peut entrer en matière sur les mérites du recours.</w:t>
      </w:r>
    </w:p>
    <w:p>
      <w:r>
        <w:t>Tribunal cantonal TC Page 3 de 6</w:t>
      </w:r>
    </w:p>
    <w:p>
      <w:r>
        <w:rPr>
          <w:b/>
        </w:rPr>
        <w:t>E. 2</w:t>
      </w:r>
    </w:p>
    <w:p>
      <w:r>
        <w:t>Eu égard au principe de l'unité et de la sécurité du droit, le conducteur ne peut en principe plus contester dans le cadre de la procédure administrative les faits établis au terme d'une procédure sommaire, pour lesquels il a été sanctionné par une ordonnance pénale et alors qu'il n'y a pas fait opposition, acceptant ainsi que celle-ci entre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du Tribunal fédéral 6A.82/2006 du 27 décembre 2006). En l'occurrence, par ordonnance pénale du 11 juillet 2014, la recourante a été reconnue coupable de l'infraction commise le 18 avril 2014 à B.________. La Cour de céans constate que l'ordonnance pénale est entrée en force et que la recourante ne peut invoquer des circonstances particulières qu'elle aurait omis de faire valoir au niveau de la procédure pénale. Partant, rien ne justifie de s'écarter des considérations de fait établies par le Juge pénal. Aussi, il y a lieu de retenir que la recourante n'a pas respecté le feu rouge à B.________ le 18 avril 2014 à 17h17.</w:t>
      </w:r>
    </w:p>
    <w:p>
      <w:r>
        <w:rPr>
          <w:b/>
        </w:rPr>
        <w:t>E. 3</w:t>
      </w:r>
    </w:p>
    <w:p>
      <w:r>
        <w:t>Sur le vu de ces faits, l'intéressée a violé la règle du respect strict de la signalisation lumineuse, fondée sur l'art. 27 al. 1 de la loi fédérale sur la circulation routière (LCR; RS 741.01) et, partant, il se justifiait que la CMA prononce une mesure administrative à son endroit.</w:t>
      </w:r>
    </w:p>
    <w:p>
      <w:r>
        <w:rPr>
          <w:b/>
        </w:rPr>
        <w:t>E. 4</w:t>
      </w:r>
    </w:p>
    <w:p>
      <w:r>
        <w:t>a) Lorsque la procédure prévue par la loi fédérale sur les amendes d’ordre (RS 741.03) n’est pas applicable – comme en l'espèce – une infraction aux prescriptions sur la circulation routière entraîne le retrait du permis d’élève-conducteur ou du permis de conduire ou un avertissement (art. 16 al. 2 LCR; cf. art. 2 de la loi sur les amendes d'ordre).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arrêt du Tribunal fédéral 6A.16/2006 du 6 avril 2006 consid. 2.1.1 in JdT 2006 I 442)</w:t>
      </w:r>
    </w:p>
    <w:p>
      <w:r>
        <w:t>Tribunal cantonal TC Page 4 de 6 b) En vertu de l'art. 27 al. 1 LCR, chacun se conformera aux signaux et aux marques ainsi qu'aux ordres de la police. Le respect des signaux lumineux constitue une règle cardinale de la sécurité routière dont l'inobservation entraîne un risque sérieux d'accident puisque les autres usagers de la route accordent légitimement leur confiance à cette signalisation (cf. ATF 118 IV 285 consid. 4). D'après la jurisprudence, a commis une faute grave le cycliste qui, à 8 heures du matin et par temps pluvieux, avait traversé à faible allure un carrefour sans visibilité alors que le feu était en phase jaune et qu'il lui était possible de s'arrêter, et était entré en collision avec un véhicule circulant normalement sur sa gauche (ATF 123 IV 88 consid. 4a p. 93 ss). 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(arrêt du Tribunal fédéral 6S.156/1993 du 25 juin 1993). A aussi commis une faute grave le conducteur qui, en raison d'une confusion de feux et de panneaux de direction qui se trouvaient en-dessous, a violé un feu rouge à un carrefour à quatre intersections où la visibilité était relativement mauvaise et où régnait un important trafic; la situation exigeait une attention particulière de sa part (arrêt du Tribunal fédéral 6P.153/2002 du 14 mars 2003). Il en allait de même pour l'automobiliste qui, ébloui plusieurs fois par le soleil, avait continué de circuler à 55 km/h à l'intérieur d'une localité, en particulier sur un passage pour piétons, sans visibilité (arrêt du Tribunal fédéral 6S.628/2001 du 29 novembre 2001). En revanche, le Tribunal fédéral a nié l'existence d'une faute grave dans le cas d'un automobiliste qui, plusieurs secondes après le passage du feu au rouge, s'était engagé dans une intersection en omettant de respecter la signalisation, alors que la visibilité était bonne et le trafic peu dense (ATF 118 IV 285 consid. 4 p. 290). c) En l'espèce, dans cette circulation réglée par des feux, le signal en phase rouge qui commandait la circulation du côté de l'intéressée a provoqué le signal en phase verte du côté du passage pour piétons. Les photographies au dossier montrent la présence de personnes traversant la route à cet endroit, lesquelles pouvaient compter sur le fait que les automobilistes respectent leur droit de passage conformément à la signalisation. De plus, sur un carrefour à quatre intersections, la recourante devait également s'attendre à ce que des véhicules puissent surgir sur sa route, ce d'autant plus qu'il est notoire qu'il y a un trafic important en ville aux heures de sortie des bureaux. Cette situation démontre la dangerosité du comportement de la recourante. A cela s'ajoute que la signalisation avait passé au rouge depuis plus qu'une minute déjà et que plusieurs personnes s'étaient engagées sur le passage pour piétons. Ce fait non plus n'a pas incité la recourante à arrêter sa course, ce qui une inattention qualifiée. Celle-ci ne peut en aucun cas invoqué que "la ruelle qu'[elle] traversait était envahie de travaux, d'ouvriers et de déviations pas toujours clairement indiquées" pour justifier son comportement. Bien que ces éléments ne ressortent pas du dossier, ils auraient au contraire dû l'amener à faire preuve d'une vigilance particulière. Peu importe que les risques que comporte un tel comportement ne se soient – heureusement – pas concrétisés car, selon la jurisprudence, une mise en danger abstraite accrue est suffisante (ATC 603 2010 80 du 17 septembre 2010 consid. 4 et les réf. cit.) pour être retenue dans l'appréciation de la gravité du cas. Au vu de ce qui précède, la faute commise par la recourante doit être qualifiée de grave, au sens de l'art. 16c al. 1 let. a LCR. Il est vrai que l'ordonnance pénale a été rendue par le Préfet, lequel est uniquement compétent pour se prononcer en cas de violations simples à la LCR (cf. art. 18 de la loi d'application de la législation fédérale sur la circulation routière [LALCR; RSF 781.1]). Il convient toutefois de rappeler que pour de pures questions de droit, dont fait partie l'appréciation de la gravité d'un cas, les autorités administratives ne sont pas liées par la qualification du Juge pénal. En particulier, la jurisprudence retient que, lorsque les autorités administratives et pénales</w:t>
      </w:r>
    </w:p>
    <w:p>
      <w:r>
        <w:t>Tribunal cantonal TC Page 5 de 6 se sont toutes deux fondées uniquement sur le dossier, l'autorité administrative n'est pas liée par la qualification juridique donnée au pénal (cf. ATF 123 II 97 consid. 3c; 120 Ib 312; 115 Ib 163; ATC 603 2012 138 du 13 septembre 2012; arrêt du Tribunal fédéral 1C_555/2008 du 1er avril 2009).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2b; ATF 115 Ib 163 consid. 2a; ATC 3A 06 84 du 2 novembre 2006 consid. 4d; ATC 3A 06 144 du 23 janvier 2007 consid. 6a). Vu les circonstances du cas d'espèce et la jurisprudence précitée, l'autorité intimée a qualifié à bon droit la faute de grave. d) En vertu de l'art. 16c al. 2 LCR, après une infraction grave, le permis d'élève conducteur ou le permis de conduire est retiré pour la durée de trois mois au minimum (let. a). L'art. 16 al. 3 LCR dispose que, pour fixer la durée du retrait du permis d'élève conducteur ou du permis de conduire, les circonstances doivent être prises en considération, notamment l'atteinte à la sécurité routière, la gravité de la faute, les antécédents en tant que conducteur ainsi que la nécessité professionnelle de conduire un véhicule automobile. La durée minimale du retrait ne peut toutefois être réduite. L'autorité administrative doit en outre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M. PERRIN, Délivrance et retrait du permis de conduire, Fribourg 1982, p. 190 et la jurisprudence citée). En fixant au minimum légal la durée du retrait du permis de conduire, la décision de la CMA ne prête manifestement pas le flanc à la critique. La durée minimale ne peut être réduite en raison d'un éventuel besoin professionnel de disposer du permis de conduire ou de l'absence d'antécédents (cf. art. 16 al. 3 LCR; ATF 132 II 234 consid. 2.3). Partant, la décision de la CMA, conforme aux principes de la légalité et de la proportionnalité, échappe à la critique et doit être confirmée. Pour l'ensemble des motifs qui précèdent, le recours doit être rejeté.</w:t>
      </w:r>
    </w:p>
    <w:p>
      <w:r>
        <w:rPr>
          <w:b/>
        </w:rPr>
        <w:t>E. 5</w:t>
      </w:r>
    </w:p>
    <w:p>
      <w:r>
        <w:t>Vu l'issue du recours, les frais de procédure doivent être mis à la charge de la recourante qui succombe, conformément à l'art. 131 CPJA et aux art. 1 et 2 du Tarif sur les frais de procédure et des indemnités en matière de juridiction administrative (RSF 150.12).</w:t>
      </w:r>
    </w:p>
    <w:p>
      <w:r>
        <w:t>Tribunal cantonal TC Page 6 de 6 La Cour arrête: I. Le recours est rejeté. Partant, la décision de la CMA du 14 août 2014 est confirmée. II. Les frais de procédure, par 600 francs, sont mis à la charge de la recourante. Ils sont compensés par l'avance de frais qu'elle a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mars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