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32 vom 18. Dezember 2023</w:t>
      </w:r>
    </w:p>
    <w:p>
      <w:r>
        <w:t>FR Kantonsgericht, 2023-12-18, DE</w:t>
      </w:r>
    </w:p>
    <w:p>
      <w:r>
        <w:rPr>
          <w:b/>
        </w:rPr>
        <w:t xml:space="preserve">Quelle: </w:t>
      </w:r>
      <w:r>
        <w:t>https://mcp.opencaselaw.ch/entscheid/fr_gerichte_602_2023_32</w:t>
      </w:r>
    </w:p>
    <w:p>
      <w:r>
        <w:t>FR: FR_GERICHTE 602 2023 32 du 18 décembre 2023</w:t>
      </w:r>
    </w:p>
    <w:p>
      <w:r>
        <w:t>IT: FR_GERICHTE 602 2023 32 del 18 dicembre 2023</w:t>
      </w:r>
    </w:p>
    <w:p>
      <w:pPr>
        <w:pStyle w:val="Heading2"/>
      </w:pPr>
      <w:r>
        <w:t>Regeste</w:t>
      </w:r>
    </w:p>
    <w:p>
      <w:r>
        <w:t>Arrêt de la IIe Cour administrative du Tribunal cantonal | Raumplanung und Bauwesen</w:t>
      </w:r>
    </w:p>
    <w:p>
      <w:pPr>
        <w:pStyle w:val="Heading2"/>
      </w:pPr>
      <w:r>
        <w:t>Erwägungen</w:t>
      </w:r>
    </w:p>
    <w:p>
      <w:r>
        <w:rPr>
          <w:b/>
        </w:rPr>
        <w:t>E. 3</w:t>
      </w:r>
    </w:p>
    <w:p>
      <w:r>
        <w:t>mars 2023. Pour le surplus, elle déclare ne pas avoir de remarque à formuler et conclut au rejet du recours. Dans ses observations du 23 mai 2023, la commune conclut au rejet du recours, en renvoyant à ses décisions ainsi qu’à sa détermination sur le recours déposée devant la préfecture. Elle expose par ailleurs pour quelles raisons elle maintient sa position. Dans sa détermination du 22 juin 2023, le requérant intimé conclut, sous suite de frais et dépens, au rejet du recours. Il conteste intégralement l’argumentation soutenue par le recourant. Dans sa détermination spontanée du 12 juillet 2023, le recourant réitère ses arguments, en particulier ceux relatifs à l’égalité de traitement par rapport aux requérants du permis et aux autres voisins, ainsi qu’au rôle de la commune quant au choix d’un emplacement minimisant les nuisances sonores à son égard selon le principe de prévention. Invité à se prononcer sur le respect du principe de prévention, le SEn a répondu le 8 septembre 2023. Il considère en bref qu’avec un respect des valeurs légales avec de la marge et en suivant les conditions de son préavis, le projet est conforme au principe de prévention. Tribunal cantonal TC Page 4 de 12 I. Il sera fait état des arguments développés par les parties à l’appui de leurs conclusions dans les considérants de droit du présent arrêt, pour autant que cela soit utile à la solution du litige. en droit 1. 1.1.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2 de la loi fribourgeoise du 2 décembre 2008 sur l’aménagement du territoire et les constructions (LATeC; RSF 710.1). En tant que voisin, usufruitier de la parcelle ddd RF et opposant au projet de construction, le recourant a qualité pour recourir dès lors qu’il est atteint par la décision attaquée et possède un intérêt digne de protection à ce qu’elle soit annulée ou modifiée (art. 76 let. a CPJA). Le Tribunal cantonal peut donc entrer en matière sur les mérites du recours et statuer en la forme du prononcé présidentiel, conformément à l’art. 141 al. 2 LATeC. 1.2. Selon l’art. 77 al. 1 CPJA, le recours devant le Tribunal cantonal peut être formé pour violation du droit, y compris l’excès ou l’abus du pouvoir d’appréciation (let. a) et pour constatations inexacte ou incomplète des faits pertinents (let. b). Aucune question d’opportunité ne se pose en l’espèce. 2. Le recourant invoque tout d’abord une violation de son droit d’être entendu, motif pris que l’autorité intimée ne lui a pas communiqué la détermination de la commune du 30 août 2022 et qu’il n’a ainsi pas pu se prononcer sur son contenu avant le prononcé de la décision. 2.1. Le droit d’être entendu est une garantie de nature formelle, dont la violation entraîne en principe l’annulation de la décision attaquée, indépendamment des chances de succès du recours sur le fond (ATF 142 II 218 consid. 2.8.1; 135 I 187 consid. 2.2). Garanti à l’art. 29 al. 2 Cst., le droit d’être entendu comprend notamment le droit pour l’intéressé de se prononcer et d’offrir des preuves pertinentes, d’obtenir qu’il soit donné suite à ses offres de preuves pertinentes et de participer à l’administration des preuves essentielles lorsque cela est de nature à influer sur la décision à rendre (ATF 145 I 73 consid. 7.2.2.1 et les références citées). Une violation du droit d’être entendu peut être réparée lorsque l’autorité de recours dispose, comme en l’espèce, d’un pouvoir de cognition aussi étendu, en fait et en droit, que celui de l’autorité inférieure et qu’il n’en résulte aucun désavantage pour le recourant (ATF 133 I 201 consid. 2.2; arrêt TF 1C_265/2009 du 7 octobre 2009).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Tribunal cantonal TC Page 5 de 12 l’intérêt de la partie concernée à ce que sa cause soit tranchée dans un délai raisonnable (ATF 142 II 21 consid. 2.8.1 et les références citées). 2.2. En l’occurrence, la préfecture admet que la détermination de la commune du 30 août 2022 n’a pas été communiquée au recourant. Ce faisant, elle a manifestement violé son droit d’être entendu. Cela étant, ce dernier a consulté le dossier complet constitué par la préfecture en date du 3 mars 2023. Il a ainsi pu prendre connaissance – en particulier – de cette détermination. Dans le cadre du présent recours, il a eu l’occasion de s’exprimer sur le contenu de celle-ci et de faire valoir ses arguments. Dès lors que le Tribunal dispose du même pouvoir de cognition que la préfecture en fait et en droit et qu’il n’en résulte aucun désavantage pour le recourant, la violation du droit d’être entendu constatée a ainsi été réparée.</w:t>
      </w:r>
    </w:p>
    <w:p>
      <w:r>
        <w:rPr>
          <w:b/>
        </w:rPr>
        <w:t>E. 3.1</w:t>
      </w:r>
    </w:p>
    <w:p>
      <w:r>
        <w:t>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 TC FR 602 2018 21 du 28 novembre 2018 consid. 3.1; arrêt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w:t>
      </w:r>
    </w:p>
    <w:p>
      <w:r>
        <w:rPr>
          <w:b/>
        </w:rPr>
        <w:t>E. 3.2</w:t>
      </w:r>
    </w:p>
    <w:p>
      <w:r>
        <w:t>Dans le cadre de l’instruction d’une demande de permis de construire, les dossiers sont soumis aux différents services de l’Etat (pour la procédure simplifiée, cf. art. 95 du règlement fribourgeois du 1er décembre 2009 d’exécution de la loi sur l’aménagement du territoire et les constructions, ReLATeC; RSF 710.11). Selon la jurisprudence,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 pleine force probante peut lui être reconnue. Il peut alors remplacer une expertise, dans la mesure toutefois où il n’existe pas d’indices concrets et sérieux qui en diminuent la valeur probante (ATF 132 II 257 consid. 4; arrêt TF 1C_338/2010 du 23 mai 2013 consid. 5; arrêts TC FR du 30 mars 2001, in RFJ 2001 p. 224; 1A 2003 61 du 12 septembre 2007). Tribunal cantonal TC Page 6 de 12</w:t>
      </w:r>
    </w:p>
    <w:p>
      <w:r>
        <w:rPr>
          <w:b/>
        </w:rPr>
        <w:t>E. 4</w:t>
      </w:r>
    </w:p>
    <w:p>
      <w:r>
        <w:t>Sur le fond, le recourant reproche aux autorités intimées d’avoir violé le principe de prévention des émissions de bruits engendrées par la PAC.</w:t>
      </w:r>
    </w:p>
    <w:p>
      <w:r>
        <w:rPr>
          <w:b/>
        </w:rPr>
        <w:t>E. 4.1</w:t>
      </w:r>
    </w:p>
    <w:p>
      <w:r>
        <w:t>La pompe à chaleur en cause est une installation fixe nouvelle au sens des art. 7 al. 7 LPE et 2 al. 1 OPB, dont l’exploitation produit un bruit extérieur. A ce titre, elle ne peut être construite, en vertu des art. 25 al. 1 LPE et 7 al. 1 let. b OPB, que si les immissions sonores (cf. art. 7 al. 2 i.f. LPE; bruit au lieu de son effet) qu’elle engendre ne dépassent pas les valeurs de planification fixées à l’annexe 6 de l’OPB (cf. ch. 1 al. 1 let. e de l’annexe 6 à l’OPB). Les émissions de bruit (au sortir de l’installation; cf. art. 7 al. 2 LPE) doivent en outre être limitées par des mesures préventives en tant que cela est réalisable sur le plan de la technique et de l’exploitation et économiquement supportable (art. 11 al. 2 LPE et 7 al. 1 let. a OPB). La protection contre le bruit est ainsi assurée par l’application cumulative des valeurs de planification et du principe de la limitation préventive des émissions (cf. arrêt TF 1C_469/2022 du 27 juillet 2023 consid. 3.1 et les références citées).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Dans ce cadre, le principe de la prévention impose, lors du choix de l’emplacement d’une nouvelle installation, de tenir compte des émissions que celle-ci produira et de la protection des tiers contre les atteintes nuisibles et incommodantes; il commande ainsi de choisir l’emplacement le moins bruyant (cf. pour le tout, ATF 141 II 476 consid. 3.2 et les références citées; arrêt TC FR 602 2019 72 du 6 novembre 2019 consid. 2.1). Pour les installations qui respectent les valeurs de planification, des mesures supplémentaires de protection contre le bruit n’entrent toutefois en ligne de compte, à titre préventif, que si elles permettent d’obtenir, à un coût relativement faible, une réduction supplémentaire significative du niveau d’émissions (ATF 141 II 476 consid. 3.2; 127 II 306 consid. 8; 124 II 517 consid. 5a; arrêts TF 1C_603/2018 du 13 janvier 2020 consid. 3.2; 1C_391/2014 du 3 mars 2016 consid. 7.8, in URP, 2016 p. 579; chaque fois avec les références citées). L’autorité de délivrance du permis de construire ne peut pas se contenter d’accorder aux requérants du permis le choix entre différentes variantes de projet respectant les valeurs de planification. Elle doit au contraire opter pour la mesure qui garantit la meilleure protection contre le bruit dans le cadre du principe de prévention et du principe de proportionnalité (art. 5 al. 2 Cst.). Cela peut également avoir pour conséquence que différentes mesures de protection contre le bruit doivent être ordonnées de manière cumulative (pour le tout: arrêt TF 1C_418/2019 du 16 juillet 2020 consid. 3.2 et les références citées).</w:t>
      </w:r>
    </w:p>
    <w:p>
      <w:r>
        <w:rPr>
          <w:b/>
        </w:rPr>
        <w:t>E. 4.2</w:t>
      </w:r>
    </w:p>
    <w:p>
      <w:r>
        <w:t>L’aide à l’exécution 6.21 pour l’évaluation acoustique des pompes à chaleur air/eau émise le 16 juin 2022 par Cercle Bruit souligne en particulier qu’en dessous des valeurs de planification, les réductions de niveau inférieures à 3 dB ne sont pas considérées comme significatives et que les mesures qui ont un effet inférieur à cette limite ne doivent donc pas être mises en œuvre. Il y est exposé que des réductions de niveau supérieures à 3 dB peuvent en principe être obtenues par le biais des mesures de planification à examiner dans un premier temps (installation intérieure de la PAC, choix d’une installation avec un faible niveau de puissance acoustique, optimisation de l’emplacement, mode silencieux) et que, si les coûts engendrés sont relativement faibles (jusqu’à Tribunal cantonal TC Page 7 de 12 1% des coûts d’investissement de l’installation de pompe à chaleur), la mesure doit être mise en œuvre. Il est également relevé que les mesures techniques et constructives additionnelles mentionnées au chapitre 2.2.2 et à l’annexe 2 (p. ex. capots d’insonorisation, parois antibruit) permettent également d’obtenir une réduction significative des niveaux de bruit, mais que les coûts de ces mesures dépassent généralement 1% des coûts d’investissement de l’installation de pompe à chaleur de sorte que la proportionnalité de ces mesures n’est pas donnée si les valeurs de planification sont respectées (cf. chapitre 2.1). Il est mentionné au chapitre 2.2.1, notamment, que l’installation intérieure de la pompe à chaleur n’est en règle générale que proportionnée au but visé pour les nouvelles constructions ou lorsque les bâtiments existants disposent déjà des ouvertures nécessaires à l’amenée et la sortie de l’air. Lors du remplacement d’une installation de chauffage, il faut compter avec des coûts de planification et de construction importants de plusieurs milliers de francs pour une installation intérieure (percements de murs, sauts-de-loup pour l’amenée et la sortie de l’air etc.). En ce qui concerne l’appréciation de l’aide à l’exécution du Cercle Bruit, le Tribunal fédéral a estimé à plusieurs reprises que de telles directives étaient applicables (anwendbar) et pouvaient tout à fait servir d’aide à la décision (cf. arrêts TF 1C_311/2007 du 21 juillet 2008 consid 3.4; 1A.139/2002 du</w:t>
      </w:r>
    </w:p>
    <w:p>
      <w:r>
        <w:rPr>
          <w:b/>
        </w:rPr>
        <w:t>E. 4.3</w:t>
      </w:r>
    </w:p>
    <w:p>
      <w:r>
        <w:t>En l’espèce, il n’est pas contesté que le projet litigieux respecte les valeurs de planification. Le recourant critique en revanche le fait que la commune n’a pas démontré qu’il était impossible d’implanter la PAC à un autre emplacement susceptible de réduire significativement les nuisances à son égard, sans impacter les autres voisins, respectivement qu’elle n’a pas examiné la possibilité d’imposer d’autres mesures supplémentaires (notamment l’installation d’éléments d’isolation phonique adaptés au modèle de PAC prévu ou le choix d’un modèle moins bruyant).</w:t>
      </w:r>
    </w:p>
    <w:p>
      <w:r>
        <w:rPr>
          <w:b/>
        </w:rPr>
        <w:t>E. 4.3.1</w:t>
      </w:r>
    </w:p>
    <w:p>
      <w:r>
        <w:t>Le projet litigieux vise à remplacer une chaudière à gaz par une PAC air/eau extérieure. Il s’agit plus précisément d’un dispositif "split" avec une unité extérieure et une unité à l’intérieur du bâtiment. Il ressort du plan de situation du 5 avril 2022 que le projet prévoit d’implanter l’élément extérieur de la PAC au Nord-Ouest de la maison de l’intimé, à 1.5 m de distance de celle-ci. Cet élément extérieur sera situé à 8 m de l’habitation voisine la plus proche, à savoir celle du recourant. Le flux d’air de la PAC ne sera pas dirigé vers ce voisin le plus proche, mais vers le Nord.</w:t>
      </w:r>
    </w:p>
    <w:p>
      <w:r>
        <w:rPr>
          <w:b/>
        </w:rPr>
        <w:t>E. 4.3.2</w:t>
      </w:r>
    </w:p>
    <w:p>
      <w:r>
        <w:t>Le SEn, service spécialisé en matière de protection contre le bruit, a rendu un préavis favorable avec conditions. Il a retenu ce qui suit : "Eléments déterminants Du point de vue du bruit, nous notons qu’il est prévu d’installer une pompe à chaleur (PAC) air-eau avec un élément extérieur. Le fonctionnement d’une telle PAC est générateur d’émissions sonores potentiellement gênantes pour le voisinage. Le projet se situe en zone résidentielle (degré de sensibilité au bruit II). Les locaux à usage sensible au bruit voisins et les parcelles situées en zone à bâtir voisines doivent être considérés. L’art. 7 et l’annexe 6 OPB concernant les nouvelles installations techniques doivent être respectés, ainsi que le principe de prévention (art. 11 LPE). Tribunal cantonal TC Page 8 de 12 Evaluation La PAC prévue (J.________) a, selon les documents se trouvant dans le dossier (confirmé par les données du site internet du groupement professionnel suisse pour les pompes à chaleur), un niveau de puissance acoustique de 59 dB(A) selon ErP. Par contre le niveau de puissance acoustique maximal de jour est de 63 dB(A) et ce même niveau de nuit est de 55 dB(A). L’élément extérieur se trouve, selon le plan de situation, au nord-ouest de l’habitation à 8 mètres du voisin le plus proche. A noter que le flux d’air de la PAC n’est pas dirigé vers ce voisin le plus proche. D’après notre évaluation, la PAC est conforme à la législation en vigueur en matière de protection contre le bruit (à certaines conditions, voir ci-dessous). Conclusion Le projet est conforme aux conditions suivantes. Conditions 1. Le mode nuit ou mode silencieux doit obligatoirement être réglé sur la PAC pour la période de nuit qui dure de 19h à 7h selon l’annexe 6 de l’OPB. En effet, cette PAC est plus bruyante en mode normal (mode jour). 2. Bruit de la PAC : les requérants veilleront à ce que l’installation soit faite dans les règles de l’art (dalle isolée, plots antivibratoires et éléments de conduites souples). 3. Concernant la PAC, notre évaluation tient compte des informations connues à ce jour. Toute modification (en particulier : modification de l’emplacement ou du modèle) nécessitera une nouvelle évaluation de notre part. Si les valeurs de planification devaient ne pas être respectées, des mesures constructives et/ou d’exploitation seront exigées. 4. Bruit de la PAC : si les valeurs de planification devaient ne pas être respectées pour une quelconque raison (par exemple utilisation incorrecte de l’installation, niveau de bruit plus élevé que celui annoncé, non-respect de l’horaire de nuit avec réglage obligatoire du mode silencieux, etc.), des mesures constructives et/ou d’exploitation seront exigées." Invité à se prononcer sur le respect du principe de prévention, le SEn a confirmé sa position dans sa détermination du 6 septembre 2023. Il y expose que son évaluation de la situation aurait été la même, même s’il avait eu connaissance de l’opposition avant de rendre son préavis, étant donné que la feuille de calcul du Cercle Bruit fournie avec le dossier est correcte. Il relève en particulier que: "Concernant la correction pour la direction, on peut encore mentionner qu’étant donné qu’il n’y a pas de surfaces à l’arrière de la PAC, il est correct de tenir compte dans la feuille de calcul que la PAC est en champ libre (donc éloignée d’une façade). Mais même si l’on voulait évaluer le bruit de cette PAC air-eau avec le maximum de précaution et que l’on considérait tout de même une surface réfléchissante à cause de la façade proche (mais pas située à l’arrière de la PAC pour rappel) donc en ajoutant 3 dB(A) au résultat, les valeurs légales seraient respectées. Il ne faut pas oublier que, comme indiqué dans notre préavis, la PAC est dirigée vers le nord donc son flux d’air est dirigé parallèlement à l’habitation du recourant. Dans ce cas, les modèles de calcul du bruit permettent de diminuer le bruit de 3 dB(A) (angle d’ouverture par rapport à la PAC de 90° au lieu de 180°) ce qui n’a pas été pris en compte dans la feuille de calcul du Cercle Bruit fournie dans le dossier de mise à l’enquête." Tribunal cantonal TC Page 9 de 12 Le SEn indique en outre s’être basé sur l’aide à l’exécution 6.21 du Cercle Bruit sur l’évaluation acoustique des pompes à chaleur du 16 juin 2022 et rappelle que les mesures préventives doivent apporter une diminution d’au moins 3 dB(A) et coûter moins de 1% des coûts d’investissement de l’installation de la PAC. Il explique que l’expérience montre que le déplacement d’une PAC en l’éloignant du local technique (donc en devant installer des conduites plus longues) ou l’installation d’un capot antibruit coûtent bien plus que ces 1% des coûts, de sorte qu’il peut être conclu que d’autres variantes ne pourraient pas être considérées comme économiquement supportables.</w:t>
      </w:r>
    </w:p>
    <w:p>
      <w:r>
        <w:rPr>
          <w:b/>
        </w:rPr>
        <w:t>E. 4.3.3</w:t>
      </w:r>
    </w:p>
    <w:p>
      <w:r>
        <w:t>En l’occurrence, selon la feuille de calcul du Cercle Bruit produite par l’intimé avec la demande de permis de construire – dont le SEn a indiqué qu’elle était correcte –, la PAC litigieuse devrait produire une puissance acoustique de 40.9 dB (A) maximum la nuit à l’endroit de la propriété du recourant, ce qui représente plus de 4 dB (A) de marge par rapport à la valeur de planification de 45 dB (A) maximum la nuit. Le SEn a expressément conditionné son préavis favorable au respect de diverses conditions (cf. consid. 4.3.2 ci-dessus), en particulier l’utilisation du mode nuit ou silencieux pour la période de nuit, l’emplacement et le modèle de la PAC ainsi que la façon d’implanter l’installation (dalle isolée, plots antivibratoires et éléments de conduites souples). Il ressort du permis de construire que ces conditions doivent être strictement observées et qu’elles font partie intégrante de l’autorisation de construire. Il doit dès lors être considéré que la PAC correspond à l’état de la technique et que le respect des conditions imposées par le SEn vise précisément à garantir le principe de prévention. Le recourant n’apporte aucun élément permettant en l’occurrence de mettre en doute l’avis circonstancié du service spécialisé. Cela vaut d’autant plus que, dans sa prise de position du</w:t>
      </w:r>
    </w:p>
    <w:p>
      <w:r>
        <w:rPr>
          <w:b/>
        </w:rPr>
        <w:t>E. 4.4</w:t>
      </w:r>
    </w:p>
    <w:p>
      <w:r>
        <w:t>Au regard de ce qui précède, il ne saurait en outre être reproché aux autorités précédentes d’avoir insuffisamment instruit le dossier, comme le prétend le recourant. Bien au contraire, dans les circonstances de l’espèce, celles-ci pouvaient manifestement considérer que la cause était en état d’être jugée et renoncer à procéder à des mesures d’instruction qui leur auraient encore été proposées par une appréciation anticipée des preuves, sans violer ni le droit d’être entendu du recourant ni la maxime inquisitoire. En effet, la jurisprudence admet que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124 I 208 consid. 4a). Pour la même raison, le Tribunal considère qu’une mesure d’instruction complémentaire est inutile dans le cas d’espèce, dès lors que les pièces versées au dossier – en particulier les plans et les informations du groupement professionnel suisse pour les pompes à chaleur – permettent de parfaitement comprendre la situation de l’installation litigieuse. 5. Sur le vu de ce qui précède, le recours doit être rejeté et la décision préfectorale attaquée confirmée.</w:t>
      </w:r>
    </w:p>
    <w:p>
      <w:r>
        <w:rPr>
          <w:b/>
        </w:rPr>
        <w:t>E. 5</w:t>
      </w:r>
    </w:p>
    <w:p>
      <w:r>
        <w:t>mars 2003 consid. 4.2).</w:t>
      </w:r>
    </w:p>
    <w:p>
      <w:r>
        <w:rPr>
          <w:b/>
        </w:rPr>
        <w:t>E. 6</w:t>
      </w:r>
    </w:p>
    <w:p>
      <w:r>
        <w:t>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Obtenant gain de cause et ayant fait appel aux services d’un avocat pour défendre ses intérêts, l’intimé a droit à une indemnité de partie (cf. art. 137 CPJA). Pour les affaires relevant de la compétence présidentielle en droit des constructions, l’indemnité de partie est fixée de manière globale (cf. art. 11 al. 3 let. e du tarif en lien avec l’art. 141 al. 2 LATeC). L’art. 11 al. 4 du tarif précise qu’en cas de fixation globale, l’avocat peut présenter une liste détaillée. En l’occurrence, le mandataire de l’intimé a certes conclu à l’octroi d’une indemnité de partie de CHF 3’000.-, mais il n’a pas produit de liste de frais détaillée. En application des dispositions susmentionnées, l’indemnité de partie est ainsi fixée de manière globale et, compte tenu de la complexité très relative de l’affaire, est arrêtée à CHF 2’154.- (honoraires et débours: CHF 2’000.-; TVA [7.7%]: CHF 154.-). Elle est mise à la charge du recourant qui s’en acquittera directement auprès du mandataire de l’intimé (art. 137, 140 et 141 CPJA). Tribunal cantonal TC Page 12 de 12 la Présidente suppléante prononce : I. Le recours est rejeté Partant, la décision du 24 février 2023 de la Lieutenante de Préfet de la Sarine est confirmée. II. Les frais de procédure, par CHF 1’500.-, sont mis à la charge du recourant. Ils sont prélevés sur l’avance de frais versée, le solde de CHF 1’000.- lui étant restitué. III. Un montant de CHF 2’154.- (dont CHF 154.- au titre de la TVA), à verser à Me Paolo Ghidoni à titre d’indemnité de partie, est mis à la charge du recourant. IV.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18 décembre 2023/vth/swa La Présidente suppléante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