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148 vom 19. Dezember 2024</w:t>
      </w:r>
    </w:p>
    <w:p>
      <w:r>
        <w:t>FR Kantonsgericht, 2024-12-19, DE</w:t>
      </w:r>
    </w:p>
    <w:p>
      <w:r>
        <w:rPr>
          <w:b/>
        </w:rPr>
        <w:t xml:space="preserve">Quelle: </w:t>
      </w:r>
      <w:r>
        <w:t>https://mcp.opencaselaw.ch/entscheid/fr_gerichte_602_2023_148</w:t>
      </w:r>
    </w:p>
    <w:p>
      <w:r>
        <w:t>FR: FR_GERICHTE 602 2023 148 du 19 décembre 2024</w:t>
      </w:r>
    </w:p>
    <w:p>
      <w:r>
        <w:t>IT: FR_GERICHTE 602 2023 148 del 19 dicembre 2024</w:t>
      </w:r>
    </w:p>
    <w:p>
      <w:pPr>
        <w:pStyle w:val="Heading2"/>
      </w:pPr>
      <w:r>
        <w:t>Regeste</w:t>
      </w:r>
    </w:p>
    <w:p>
      <w:r>
        <w:t>Urteil des II. Verwaltungsgerichtshofes des Kantonsgerichts | Raumplanung und Bauwesen</w:t>
      </w:r>
    </w:p>
    <w:p>
      <w:pPr>
        <w:pStyle w:val="Heading2"/>
      </w:pPr>
      <w:r>
        <w:t>Erwägungen</w:t>
      </w:r>
    </w:p>
    <w:p>
      <w:r>
        <w:rPr>
          <w:b/>
        </w:rPr>
        <w:t>E. 1.1</w:t>
      </w:r>
    </w:p>
    <w:p>
      <w:r>
        <w:t>Das Kantonsgericht ist zur Beurteilung der vorliegenden Beschwerde zuständig (Art. 141 Abs. 1 des kantonalen Raumplanungs- und Baugesetzes vom 2. Dezember 2008 [RPBG; SGF 710.1] in Verbindung mit Art. 114 Abs. 1 Bst. c des kantonalen Gesetzes vom 23. Mai 1991 über die Verwaltungsrechtspflege [VRG; SGF 150.1]). Die Beschwerdefrist wurde eingehalten (Art. 79 Abs. 1 VRG). Auch wurde der Kostenvorschuss rechtzeitig bezahlt (Art. 128 VRG).</w:t>
      </w:r>
    </w:p>
    <w:p>
      <w:r>
        <w:rPr>
          <w:b/>
        </w:rPr>
        <w:t>E. 1.2</w:t>
      </w:r>
    </w:p>
    <w:p>
      <w:r>
        <w:t>Aus den Anträgen und den Ausführungen in der Beschwerde und der Konkretisierung vom 22. März 2024 ergibt sich, dass sich der Beschwerdeführer zwar beschwerdehalber an das Kantons- gericht wenden wollte, die Erteilung der Baubewilligung bzw. die damit verbundenen Bedingungen an sich aber nicht in Frage stellt. So führte er ausdrücklich aus, dass er ausschliesslich die Demonta- ge der Abschlusseinrichtung des Autounterstands sowie einen offenen Betrieb desselben, der Stall- anbaute und der Einstellhalle fordere, damit die GFZ-Berechnung stimme. Indes ging doch auch das Oberamt in den angefochtenen Entscheiden davon aus, dass die entsprechenden Gebäudeteile offen zu betreiben und aus diesem Grund nicht in der GFZ-Berechnung zu berücksichtigen sind. Diesen Umstand anerkennt im Übrigen auch der Beschwerdegegner: So legte er in seiner Stellung- nahme vom 25. Januar 2024 dar, der Beschwerdeführer verlange mit seinem Antrag auf torlose Betreibung der betroffenen Gebäudeteile letztlich nur die Einhaltung der erteilten Baubewilligung. Damit bilden die vom Beschwerdeführer gestellten Anträge bereits Inhalt der angefochtenen Bewilli- gung. Dass in den aktenkundigen Plänen am Autounterstand keine (Abbruch-)Arbeiten ausgewiesen werden, schadet dem nicht, stellt ein Garagentor doch eine geringfügige Baute dar (vgl. die Aufzäh- lung von Art. 85 Abs. 1 Bst. j des kantonalen Ausführungsreglements vom 1. Dezember 2009 zum Raumplanungs- und Baugesetz [RPBR; SGF 710.11]), weshalb dessen Abbruch gestützt auf Art. 150 Abs. 1 RPBG keiner Baubewilligung bedarf und folglich auch nicht auf einem separaten Plan ausgewiesen werden muss. Wohl aber wird das vollendete Bauwerk das widerspiegeln müssen, was in der Baubewilligung genehmigt wurde (vgl. Urteile KG FR 602 2023 25 vom 19. Okto- ber 2023 E. 2; 602 2023 9 vom 9. Oktober 2023 E. 3.2). Daher ist der Beschwerdegegner verpflich-</w:t>
      </w:r>
    </w:p>
    <w:p>
      <w:r>
        <w:t>Kantonsgericht KG Seite 4 von 5 tet, den Autounterstand offen zu betreiben und das Garagentor (sowie jegliche anderen Abschlüsse) zu entfernen. Da die Anträge des Beschwerdeführers wie dargelegt Inhalt der angefochtenen Bewilligung bilden und er diese weitergehend in keiner Weise in Frage stellt, hat er kein schutzwürdiges Interesse an einer Aufhebung bzw. entsprechenden Änderung der angefochtenen Entscheide, da er nicht beschwert ist (vgl. Art. 76 VRG). Es ist gestützt auf seine Anträge und die Begründung kein Nachteil erkennbar, der bei Gutheissung der Beschwerde behoben werden könnte (vgl. BGE 118 Ia 488 E. 1.a), und allein aus dem Satz in seiner Eingabe vom 22. März 2024, wonach das Ziel seiner Beschwerde eine rechtliche Anhörung und eine erneute Beurteilung der GFZ sei, kann aufgrund seiner weiteren Ausführungen und der Begründung nicht geschlossen werden, dass er die Berech- nung der GFZ (unter Einhaltung der erwähnten Bedingungen) als falsch erachte. Folglich ist auf die Beschwerde nicht einzutreten. Nach dem Gesagten ist die Beschwerde sodann als offensichtlich unbegründet zu qualifizieren, weshalb auf eine öffentliche Verhandlung zu verzichten ist (vgl. Art. 91 Abs. 1bis VRG; Urteil BGer 8C_638/2023 vom 18. Januar 2024 E. 3.2). Immerhin ist darauf hinzuweisen, dass es namentlich im Rahmen des Übereinstimmungsnachwei- ses (Art. 166 RPBG) sowie der baupolizeilichen Kontrolle der Arbeiten (Art. 165 RPBG) an der Gemeinde sein wird, zu prüfen, dass die Baute dem Bewilligungsinhalt entspricht. Betreibt der Beschwerdegegner den Autounterstand (oder einen der anderen Gebäudeteile) entgegen dem Bewilligungsinhalt nicht offen, wird sie gestützt auf die baupolizeilichen Gesetzesbestimmungen eingreifen und namentlich das Oberamt informieren müssen. Dieses hätte in der Folge nach Mass- gabe von Art. 167 RPBG zur Wiederherstellung des rechtmässigen Zustands zu verfahren: Wenn widerrechtliche Bauten bereits erstellt worden sind und eine nachträgliche Bewilligung nicht von vornherein ausgeschlossen erscheint, gewährt es der Eigentümerschaft eine angemessene Frist, damit diese ein Baubewilligungsgesuch einreicht, um den aktuellen Bauzustand der Rechtmässig- keit zuzuführen (Abs. 2). Befolgt die Eigentümerschaft die Anordnung nicht oder können die Arbeiten gar nicht bewilligt werden, kann das Oberamt nach Anhören der betroffenen Person namentlich verfügen, dass die Bauwerke ganz oder teilweise abgebrochen werden (Abs. 3; vgl. beispielhaft Urteil KG FR 602 2022 135 vom 24. Januar 2023 E. 4). Der Beschwerdeführer sei diesbezüglich darauf hingewiesen, dass es ihm unbenommen bleibt, bei der Gemeinde eine entsprechende baupo- lizeiliche Anzeige zu machen oder beim Oberamt zu intervenieren, sofern der Autounterstand tatsächlich weiterhin mit einem Tor versehen ist.</w:t>
      </w:r>
    </w:p>
    <w:p>
      <w:r>
        <w:rPr>
          <w:b/>
        </w:rPr>
        <w:t>E. 2.1</w:t>
      </w:r>
    </w:p>
    <w:p>
      <w:r>
        <w:t>Die Gerichtskosten sind in Anbetracht des beschränkten Streitthemas bzw. des Aufwands auf CHF 1’000.- festzusetzen und dem Verfahrensausgang entsprechend dem Beschwerdeführer aufzuerlegen (Art. 131 Abs. 1 VRG; Art. 1 und 2 des kantonalen Tarifs vom 17. Dezember 1991 der Verfahrenskosten und Entschädigungen in der Verwaltungsjustiz; TarifVJ; SGF 150.12). Sie werden mit dem Kostenvorschuss verrechnet. Der Saldo von CHF 1'000.- ist dem Beschwerdeführer zurück- zuerstatten.</w:t>
      </w:r>
    </w:p>
    <w:p>
      <w:r>
        <w:rPr>
          <w:b/>
        </w:rPr>
        <w:t>E. 2.2</w:t>
      </w:r>
    </w:p>
    <w:p>
      <w:r>
        <w:t>Der Beschwerdegegner hat als obsiegende Partei Anspruch auf eine Parteientschädigung (Art. 137 ff. VRG) zuhanden seiner Rechtsvertretung. Die Rechtsanwälte machen gemäss der Kostenliste vom 5. November 2024 eine Parteientschädigung von insgesamt CHF 3'550.85 geltend (12.57 Stunden zu einem Stundenansatz von CHF 250.-, zzgl. Auslagen und MwSt. von 8.1%).</w:t>
      </w:r>
    </w:p>
    <w:p>
      <w:r>
        <w:t>Kantonsgericht KG Seite 5 von 5 Diese Kostenliste erweist sich mit Blick auf die sich stellenden Rechtsfragen und deren Komplexität als offensichtlich überhöht, ist doch ein einfacher Nichteintretensentscheid zu fällen, wie dies der Beschwerdegegner ohne Weiteres erkennen konnte. Es rechtfertigt sich daher, die Parteientschä- digung ex aequo et bono auf CHF 1’300.- (5 Stunden Honorar à CHF 250.-; CHF 50.- Auslagen), zuzüglich Mehrwertsteuer zu 8.1%, ausmachend CHF 105.30, und damit insgesamt auf CHF 1'405.30 festzusetzen (Art. 11 des kantonalen Tarifs vom 17. Dezember 1991 der Verfahrens- kosten und Entschädigungen in der Verwaltungsjustiz [Tarif VJ; SGF 150.12]). Die Parteientschädi- gung ist dem unterliegenden Beschwerdeführer aufzuerlegen (Art. 141 Abs. 1 VRG). Der unterliegende Beschwerdeführer hat keinen Anspruch auf Parteientschädigung (Art. 137 Abs. 1 VRG). Der Hof erkennt: I. Auf die Beschwerde wird nicht eingetreten. II. Die Gerichtskosten werden auf CHF 1’000.- festgesetzt und dem Beschwerdeführer auferlegt. Sie sind mit dem geleisteten Kostenvorschuss zu verrechnen. Der Saldo von CHF 1'000.- wird ihm zurückerstattet. III. Der Beschwerdeführer hat dem Beschwerdegegner zuhanden der Rechtsanwälte Göksu bzw. Scheidegger eine Parteientschädigung in der Höhe von insgesamt CHF 1'405.30 (inkl. MwSt. von CHF 105.30) auszurichten. IV.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19. Dezember 2024/tsc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