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139 vom 18. November 2025</w:t>
      </w:r>
    </w:p>
    <w:p>
      <w:r>
        <w:t>FR Kantonsgericht, 2025-11-18, FR</w:t>
      </w:r>
    </w:p>
    <w:p>
      <w:r>
        <w:rPr>
          <w:b/>
        </w:rPr>
        <w:t xml:space="preserve">Quelle: </w:t>
      </w:r>
      <w:r>
        <w:t>https://mcp.opencaselaw.ch/entscheid/fr_gerichte_602_2023_139</w:t>
      </w:r>
    </w:p>
    <w:p>
      <w:r>
        <w:t>FR: FR_GERICHTE 602 2023 139 du 18 novembre 2025</w:t>
      </w:r>
    </w:p>
    <w:p>
      <w:r>
        <w:t>IT: FR_GERICHTE 602 2023 139 del 18 novembre 2025</w:t>
      </w:r>
    </w:p>
    <w:p>
      <w:pPr>
        <w:pStyle w:val="Heading2"/>
      </w:pPr>
      <w:r>
        <w:t>Regeste</w:t>
      </w:r>
    </w:p>
    <w:p>
      <w:r>
        <w:t>Arrêt de la IIe Cour administrative du Tribunal cantonal | Enteignung</w:t>
      </w:r>
    </w:p>
    <w:p>
      <w:pPr>
        <w:pStyle w:val="Heading2"/>
      </w:pPr>
      <w:r>
        <w:t>Erwägungen</w:t>
      </w:r>
    </w:p>
    <w:p>
      <w:r>
        <w:rPr>
          <w:b/>
        </w:rPr>
        <w:t>E. 22</w:t>
      </w:r>
    </w:p>
    <w:p>
      <w:r>
        <w:t>mai 1992 sur la révision de celui-ci concluait encore à la nécessité impérieuse de réduire les zones à bâtir pour les rendre conformes aux dispositions du droit cantonal et fédéral ("avec une population de 1180 habitants et une surface de zones à bâtir de 96’4130 m2 selon les études de planimétrie effectuée par notre office, la surface moyenne par habitant est actuellement de 820 m2, soit plus de trois fois supérieure à la surface moyenne par habitant communément admise (250 m2). Cela signifie que la surface en zone à bâtir, qui devrait être dimensionnée selon l’art. 46 LATeC de manière à couvrir les besoins des 15 ans à venir, permettrait de doubler la population actuelle. Or, de 1970 à 1990, la population résidentielle de la commune n’a augmenté que de 64 unités ou de 5 %. Cette analyse est corroborée par les données du plan directeur de la région du District du Lac. Selon les objectifs de développement retenus dans le cadre de cette étude, il y aurait jusqu’en l’an 2000 dans la Commune de H.________ un besoin du 3,8 ha pour des terrains sis en zones résidentielles et mixtes alors que l’offre des terrains non construits dans lesdites zones est de</w:t>
      </w:r>
    </w:p>
    <w:p>
      <w:r>
        <w:t>Tribunal cantonal TC Page 19 de 21 26,0 ha. La capacité de réserve serait ainsi six fois supérieur[e] aux besoins prévisibles pendant les prochaines années"). Malgré cela, la commune a encore décidé la mise en zone à bâtir du quartier de J.________, d’environ 30'000 m2. Si, lors de la révision de 1998, l’OCAT a considéré qu’au vu des nombreuses résidences secondaires et de l’attractivité et activité touristique liées au paysage et site du lac de K.________, la capacité d’accueil pouvait être considérée comme conforme aux dispositions en vigueur (préavis de synthèse de p.4), il s’agit là d’une affirmation toute générale qui repose bien plus sur des objectifs de développement que sur une analyse conforme à la LAT du besoin en terrains à bâtir (cf. consid. 6.1.-6.2. supra). Ce point de vue peut en tout cas être écarté au vu la révision entamée en 2007 confirmant le caractère largement surdimensionné des terrains à bâtir de la commune et cela indépendamment de son attractivité touristique et de sa proportion de résidences secondaires. En outre, il ne suffit pas de procéder à une appréciation rétrospective du dimensionnement pour pallier l’absence d’analyse, conforme aux réquisits jurisprudentiels, au moment des procédures de révision. Enfin, il s’agissait d’une révision partielle dont le but était uniquement d’apporter les adaptations nécessaires pour se conformer au contenu de l’approbation du PAL de 1989 – à l’égard duquel le Conseil d’Etat avait émis des réserves –, non d’apporter des modifications au PAZ (cf. rapport explication et de conformité de mai 1996 p. 1). 6.4. Au demeurant, on ne se trouve pas dans un cas où le refus de classement entraînerait une obligation pour les pouvoirs publics d’indemniser les recourantes (cf. consid. 3.3.2. supra). Comme on l’a dit plus haut, en l’absence de PAD à l’expiration du délai imparti et prolongé, la parcelle des recourants n’était pas constructible à brève échéance. En outre, il n’y a pas de droit à une indemnisation pour les dépenses de planification rendues inutiles lorsque, comme en l’espèce, aucune assurance quant au maintien de la zone à bâtir n’a été donnée (cf. ATF 119 Ib 229 consid. 4c). Les intentions initiales de la commune, en particulier, ne constituent pas une telle promesse qui la lierait, à défaut de compétence en matière de planification. Les conditions cumulatives fondant le droit à une indemnité pour expropriation matérielle font ainsi défaut, ce qui permet de clore la discussion à ce sujet. Pour le reste, la parcelle n’est pas située dans un secteur largement bâti (cf. consid. 6.3. supra) et les circonstances du cas d’espèce ne justifient pas non plus d’accorder un caractère prépondérant à la protection de la bonne foi. On rappellera qu’après l’échec du PAD publié en 2002 (non imputable à la commune mais au revirement d’une famille de propriétaires qui a finalement souhaité être intégrée dans le PAD), aucun autre projet n’a vu le jour de la part des propriétaires et les variantes concrètes proposées par la commune – dont les revendications n’étaient pas injustifiées (cf. consid. 5.2. supra) – ont toutes été refusées par ceux-ci. Enfin, on ajoutera que, dans un arrêt récent, le Tribunal fédéral a laissé entendre que, même dans les cas de déclassement, un propriétaire qui, dans un horizon de planification de 15 ans, n'a pris aucune mesure concrète pour construire sur son terrain n'aurait en principe plus droit à une indemnisation pour expropriation matérielle – même si, en définitive, le Tribunal fédéral a laissé ouverte la question de l’impact de l’horizon de planification sur l’indemnisation. Cela permet de garantir que les autorités chargées de la planification puissent exercer leur mandat de manière vigoureuse et sans risque de conséquences en matière d'indemnisation et vaut en particulier dans le contexte du déclassement nécessaire des zones à bâtir surdimensionnées, qui pose des défis majeurs aux autorités concernées (cf. arrêt TF 1C_275/2022 du 27 novembre 2024 consid. 3.4.1 et les références, commenté par HOFSTETTER/REY, in BRDC 5/2025 p. 223-226).</w:t>
      </w:r>
    </w:p>
    <w:p>
      <w:r>
        <w:t>Tribunal cantonal TC Page 20 de 21 7. Enfin, la décision de la Commission d’expropriation relative aux frais et dépens échappe à la critique. Le sort des frais n’est pas irrémédiablement lié à celui des dépens. Si l’autorité précédente a décidé de limiter la part des frais à sa charge à l’avance de frais compte tenu de la longueur de la procédure et des changements successifs de président au sein de l'autorité, rien ne l’obligeait à mettre, dans la même mesure, une partie des dépens de la commune à la charge de l’État et il n’était pas arbitraire de distinguer ces deux aspects. En effet, la décision sur les dépens dépend généralement de l’issue du litige, tandis que la répartition des frais peut être plus nuancée et laissée à l’appréciation du juge. Ainsi, selon l’art. 107 al. 2 CPC, les frais judiciaires qui ne sont pas imputables aux parties ni aux tiers peuvent être mis à la charge du canton si l’équité l’exige. Cette disposition vise bien les frais judiciaires et non les dépens (ATF 140 III 385 consid. 4.1; BSK ZPO, 4e éd. 2024, art. 107 CPC n° 11). 8. Il résulte de ce qui précède que le recours doit être entièrement rejeté et la décision de la Commission d’expropriation confirmée. 9. 9.1. En application des art. 138 et 119 LEx/FR, cette dernière disposition renvoyant aux règles des art. 104 ss CPC, les frais et dépens doivent être mis à la charge de la partie qui succombe (art. 106 al. 1 CPC). 9.2. En cas de recours, les frais sont fixés par l’autorité de recours (art. 138 en lien avec l’art. 124 al.1 LEx/FR). Conformément à l’art. 6 al. 1 du tarif cantonal du 26 février 1985 des frais de procédure en matière d’expropriation (RSF 76.16), les frais de procédure sont arrêtés sur la base du tarif fribourgeois du 17 décembre 1991 des frais de procédure et des indemnités en matière de juridiction administrative (RSF 150.12). Les dépens, quant à eux, sont fixés conformément au tarif des dépens en matière d’expropriation. Compte tenu de ce qui précède et au vu de l’issue du litige, les frais de procédure sont arrêtés à CHF 5'000.- et mis solidairement à la charge des recourants. Obtenant gain de cause, la commune a droit à une indemnité de partie dès lors que la difficulté de l’affaire justifiait en l’espèce qu’elle fasse appel aux services d’une avocate pour défendre ses intérêts. Au vu de la liste de frais produite par sa mandataire, l’indemnité de partie est arrêtée, comme demandé, à CHF 4'602.10 (honoraires: CHF 4237.50 et débours: CHF 20.30; TVA: CHF 344.30). Elle est mise solidairement à la charge des recourants. (dispositif en page suivante)</w:t>
      </w:r>
    </w:p>
    <w:p>
      <w:r>
        <w:t>Tribunal cantonal TC Page 21 de 21 la Cour arrête : I. Le recours est rejeté. Partant, la décision de la Commission d’expropriation du 28 septembre 2023 est confirmée. II. Les frais de procédure, par CHF 5’000.-, sont mis solidairement à la charge des recourants. Ils sont compensés avec l’avance de frais versée. III. Un montant de CHF 4'602.10 (dont CHF 344.30 au titre de la TVA) est octroyé à la commune, à verser à Me Fauguel, à titre d’indemnité de partie,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18 novembre 2025/jca La Présidente suppléante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