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100 vom 21. Oktober 2024</w:t>
      </w:r>
    </w:p>
    <w:p>
      <w:r>
        <w:t>FR Kantonsgericht, 2024-10-21, FR</w:t>
      </w:r>
    </w:p>
    <w:p>
      <w:r>
        <w:rPr>
          <w:b/>
        </w:rPr>
        <w:t xml:space="preserve">Quelle: </w:t>
      </w:r>
      <w:r>
        <w:t>https://mcp.opencaselaw.ch/entscheid/fr_gerichte_602_2023_100</w:t>
      </w:r>
    </w:p>
    <w:p>
      <w:r>
        <w:t>FR: FR_GERICHTE 602 2023 100 du 21 octobre 2024</w:t>
      </w:r>
    </w:p>
    <w:p>
      <w:r>
        <w:t>IT: FR_GERICHTE 602 2023 100 del 21 ottobre 2024</w:t>
      </w:r>
    </w:p>
    <w:p>
      <w:pPr>
        <w:pStyle w:val="Heading2"/>
      </w:pPr>
      <w:r>
        <w:t>Regeste</w:t>
      </w:r>
    </w:p>
    <w:p>
      <w:r>
        <w:t>Arrêt de la IIe Cour administrative du Tribunal cantonal | Raumplanung und Bauwesen</w:t>
      </w:r>
    </w:p>
    <w:p>
      <w:pPr>
        <w:pStyle w:val="Heading2"/>
      </w:pPr>
      <w:r>
        <w:t>Erwägungen</w:t>
      </w:r>
    </w:p>
    <w:p>
      <w:r>
        <w:rPr>
          <w:b/>
        </w:rPr>
        <w:t>E. 24</w:t>
      </w:r>
    </w:p>
    <w:p>
      <w:r>
        <w:t>LAT. 6.1. L'art.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(cf. arrêt TF 1C_276/2021 du 17 mars 2022 consid. 4.1). L'implantation d'une construction est imposée par sa destination au sens de l'art. 24 let. a LAT, lorsqu'un emplacement hors de la zone à bâtir est dicté par des motifs techniques (p. ex., antenne de téléphonie mobile), des impératifs liés à l'exploitation d'une entreprise, la nature du sol (p. ex., gravière, renaturation de cours d'eau)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que l'emplacement prévu est plus avantageux que d'autres endroits situés à l'intérieur de la zone à bâtir (cf. ATF 141 II 245 consid. 7.6.2; plus récemment, arrêt TF 1C_434/2021 du 17 août 2022 consid. 3.1). Seuls des critères objectifs sont déterminants, à l'exclusion de préférences dictées par des raisons de commodité ou d'agrément (cf. ATF 136 II 214 consid. 2.1; 129 II 63 consid. 3.1; arrêt TF 1C_74/2018 du 12 avril 2019 consid. 2.1). L'application du critère de l'art. 24 let. a LAT doit toutefois être stricte, dès lors que ce dernier contribue à l'objectif de séparation entre le bâti et le non-bâti</w:t>
      </w:r>
    </w:p>
    <w:p>
      <w:r>
        <w:t>Tribunal cantonal TC Page 9 de 10 (cf. ATF 124 II 252 consid. 4a; arrêts TF 1C_434/2021 du 17 août 2022 consid. 3.1; 1C_276/2021 du 17 mars 2022 consid. 4.1). 6.2. En l'occurrence, la construction hors de la zone à bâtir d'un couvert à voitures fermé – quasiment – sur trois côtés ne répond pas à une fonction agricole et n'est pas imposée par la destination du bâtiment. Les recourants n'établissent, au surplus, pas que son emplacement hors de la zone à bâtir serait dicté par des motifs techniques ou par des impératifs liés à l'exploitation d'une entreprise ou à la nature du sol. À l'instar de la DIME, la Cour considère que le fait de vouloir disposer d'un couvert à voitures fermé sur trois côtés relève en l'occurrence de la convenance personnelle et présente un caractère subjectif, ce qui ne justifie aucunement qu'il soit dérogé au principe cardinal de séparation stricte entre la zone à bâtir et la zone inconstructible (cf. MUGGLI, Praxiskommentar RPG, 2017, art. 24 no 11). Le projet ne remplissant pas l'une des conditions cumulatives posées par l'art. 24 LAT, aucune autorisation spéciale ne peut dès lors être octroyée sur cette base. 7. Les recourants demandent qu'une inspection des lieux soit ordonnée à titre de mesure d'instruction.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En l'espèce, la Cour de céans estime que la mesure d'instruction requise par les recourants est inutile, dès lors que tous les éléments pertinents pour statuer, en particulier les plans mais également les photographies de l'ouvrage réalisé produites par les recourants, figurent au dossier. 8. Au vu de ce qui précède, le recours, mal fondé, doit être rejeté dans la mesure où il est recevable. 9. Il appartient aux recourants qui succombent de supporter solidairement les frais de procédure en application de l'art. 131 CPJA. Ceux-ci sont fixés selon les art. 1 et 2 du tarif fribourgeois du 17 décembre 1991 des frais de procédure et des indemnités en matière de juridiction administrative (Tarif JA; RSF 150.12). En l'espèce, il se justifie de fixer les frais à CHF 2'500.- et de les compenser avec l'avance de frais du même montant. Pour le même motif, il n'est pas alloué d'indemnité de partie aux recourants (art. 137 CPJA). (dispositif en page suivante)</w:t>
      </w:r>
    </w:p>
    <w:p>
      <w:r>
        <w:t>Tribunal cantonal TC Page 10 de 10 la Cour arrête : I. Le recours est rejeté dans la mesure où il est recevable. II. Les frais de procédure, fixés à CHF 2'500.-, sont mis solidairement à la charge des recourants. Ils sont compensés par l'avance de frais du même montant versée par les recourants.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octobre 2024/vth/tki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