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247 vom 2. August 2023</w:t>
      </w:r>
    </w:p>
    <w:p>
      <w:r>
        <w:t>FR Kantonsgericht, 2023-08-02, FR</w:t>
      </w:r>
    </w:p>
    <w:p>
      <w:r>
        <w:rPr>
          <w:b/>
        </w:rPr>
        <w:t xml:space="preserve">Quelle: </w:t>
      </w:r>
      <w:r>
        <w:t>https://mcp.opencaselaw.ch/entscheid/fr_gerichte_602_2022_247</w:t>
      </w:r>
    </w:p>
    <w:p>
      <w:r>
        <w:t>FR: FR_GERICHTE 602 2022 247 du 2 août 2023</w:t>
      </w:r>
    </w:p>
    <w:p>
      <w:r>
        <w:t>IT: FR_GERICHTE 602 2022 247 del 2 agosto 2023</w:t>
      </w:r>
    </w:p>
    <w:p>
      <w:pPr>
        <w:pStyle w:val="Heading2"/>
      </w:pPr>
      <w:r>
        <w:t>Regeste</w:t>
      </w:r>
    </w:p>
    <w:p>
      <w:r>
        <w:t>Arrêt de la IIe Cour administrative du Tribunal cantonal | Raumplanung und Bauwesen</w:t>
      </w:r>
    </w:p>
    <w:p>
      <w:pPr>
        <w:pStyle w:val="Heading2"/>
      </w:pPr>
      <w:r>
        <w:t>Erwägungen</w:t>
      </w:r>
    </w:p>
    <w:p>
      <w:r>
        <w:rPr>
          <w:b/>
        </w:rPr>
        <w:t>E. 27</w:t>
      </w:r>
    </w:p>
    <w:p>
      <w:r>
        <w:t>mai 2021. Elle semble également avoir pour pratique de refuser systématiquement des aménagements similaires. Partant, les circonstances du cas d'espèce montrent que la notion de bâtiment contenue dans l'art. 18 du règlement du PAD doit être comprise dans un sens plus large que celle définie dans l'AIHC, qui inclut également les murs de soutènement. C'est ainsi à juste titre que le Préfet a refusé la demande de mise en conformité relative au mur de soutènement. Dès lors qu'il ne saurait être question que la commune se réfère au présent jugement pour interpréter une disposition réglementaire, elle est expressément invitée à modifier et préciser le règlement du PAD "E.________" dans les meilleurs délais. 4. Les recourants invoquent encore une violation de leur droit d'être entendus, motifs pris qu'ils n'ont pas été interpellés sur la question du respect de l'art. 60 al. 1 ReLATeC et sur la possibilité de produire des conventions de dérogations. Ils soutiennent par ailleurs que, sur la base des conventions produites, leur projet répond aux prescriptions en question.</w:t>
      </w:r>
    </w:p>
    <w:p>
      <w:r>
        <w:t>Tribunal cantonal TC Page 8 de 9 Sur ce point, il peut être constaté que la motivation du Préfet en lien avec le non-respect de l'art. 60 al. 1 ReLATeC était subsidiaire, étant donné que la demande de mise en conformité du mur de soutènement devait dans tous les cas être refusée en raison de son non-respect au règlement du PAD "E.________"; pour ce motif, point n'est besoin d'examiner matériellement encore cet aspect. Quant à la question de la violation du droit d'être entendu, elle peut demeurer ouverte, dès lors qu'une éventuelle violation a de toute manière été réparée puisque les recourants ont pu produire, dans la présente procédure de recours, deux conventions de dérogation aux prescriptions sur les distances aux limites de fonds signées par les propriétaires des parcelles voisines et se prononcer sur cette question. 5. Les recourants requièrent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la question soulevée est de savoir si le mur de soutènement réalisé est autorisé ou non, à son emplacement concret, par le règlement du PAD. Pour le reste, les pièces figurant au dossier – notamment les plans – permettent parfaitement de trancher le litige (cf. arrêt TF 1C_10/2019 du 15 avril 2020 consid. 3). 6. Il résulte de ce qui précède que le recours doit être rejeté et la décision préfectorale du 20 octobre 2022 confirmée en tant qu'elle concerne la demande de mise en conformité pour le mur de soutènement. 7.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(dispositif en page suivante)</w:t>
      </w:r>
    </w:p>
    <w:p>
      <w:r>
        <w:t>Tribunal cantonal TC Page 9 de 9 la Cour arrête : I. Le recours est rejeté. II. Les frais de la procédure, par CHF 2'000.-, sont mis solidairement à la charge des recourants. Ils sont compensés avec l'avance de frais effectuée. III. Il n'est pas alloué d'indemnité de partie. IV. Notification. Le présent arrêt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si seule cette partie de la décision est contestée (art. 148 al. 1 CPJA). Fribourg, le 2 août 2023/vth/gye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