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16 vom 8. Oktober 2025</w:t>
      </w:r>
    </w:p>
    <w:p>
      <w:r>
        <w:t>FR Kantonsgericht, 2025-10-08, FR</w:t>
      </w:r>
    </w:p>
    <w:p>
      <w:r>
        <w:rPr>
          <w:b/>
        </w:rPr>
        <w:t xml:space="preserve">Quelle: </w:t>
      </w:r>
      <w:r>
        <w:t>https://mcp.opencaselaw.ch/entscheid/fr_gerichte_602_2022_16</w:t>
      </w:r>
    </w:p>
    <w:p>
      <w:r>
        <w:t>FR: FR_GERICHTE 602 2022 16 du 8 octobre 2025</w:t>
      </w:r>
    </w:p>
    <w:p>
      <w:r>
        <w:t>IT: FR_GERICHTE 602 2022 16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21 mai 2021, dans le but de clarifier la situation des chalets et cabanes de pêcheurs sis dans le périmètre du PAC, le Conseil d'Etat a saisi la Commission fédérale pour la protection de la nature et du paysage (CFNP) d'une demande d'expertise afin de déterminer, en substance, si les chalets en eux-mêmes constituent une atteinte aux buts de protection découlant de l'inscription du périmètre protégé dans les inventaires fédéraux et, à supposer qu'une telle atteinte existe, si celle- 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w:t>
      </w:r>
    </w:p>
    <w:p>
      <w:r>
        <w:t>Tribunal cantonal TC Page 5 de 14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w:t>
      </w:r>
    </w:p>
    <w:p>
      <w:r>
        <w:t>Tribunal cantonal TC Page 6 de 14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(image supprimée) I. Intégrée dans le lot 3, secteur Forel, sis dans la Réserve naturelle de la Corbière, la cabane de pêche n° bbb figure parmi les constructions dont le démantèlement est requis dans le PAC. Elle constitue un cas spécial dès lors qu'elle n'a pas été aménagée sur le terrain de l'Etat comme l'écrasante majorité des constructions concernées par la mesure, mais sur une parcelle privée, art. ccc du registre foncier (RF) de la Commune d'Estavayer (secteur Vernay). Construite vraisemblablement dans les années 1940, la cabane a été promise vendue à D.________ le 27 avril 1983 par le propriétaire de l'époque, E.________. En juin 1983, sur demande du promettant-acquéreur, cette cabane a été transformée en pavillon résidentiel, notamment en érigeant des murs extérieurs isolés, en aménageant les combles en chambre à coucher, le rez-de- chaussée en séjour et cuisine et enfin en perçant des fenêtres et autres ouvertures sur les quatre façades. Par décision du 20 octobre 1983, le Préfet du district de la Broye a ordonné la restitution intégrale de l'état antérieur jusqu'au 31 mars 1984. Le 7 février 1986, E.________ a vendu l'art. ccc RF (avec la cabane de pêche) à F.________, qui a transmis cette propriété à son fils A.________, le 26 avril 2019. S'agissant des trois constructions, dont la cabane de pêche de A.________, figurant dans le lot 3, l'expertise de la CFPN indique ce qui suit: Ce secteur se situe au nord du village de Forel et couvre une surface relativement petite en comparaison des autres secteurs; il ne comprend que trois chalets. Il se trouve à l'intérieur de l'IFP, du site marécageux et d'une zone alluviale et de reproduction de batraciens d'importance nationale; en outre, il fait frontière avec un objet de l'inventaire des bas-marais. Les chalets se trouvent dans la forêt, mais ils sont entourés en grande partie de surfaces artificielles (gazon). Il y a des enrochements sur la berge devant les chalets et plusieurs pontons sur le lac. Immédiatement devant les chalets, toute végétation riveraine fait défaut. Des deux côtés de cet accès au lac, il y a de vastes roselières, qui n'ont cessé de s'élargir au cours des 30 dernières années. La section de rive devant les chalets n'a au contraire pas évolué. En 1979, la ligne de rive à cet endroit se situait encore à la même hauteur que dans les tronçons voisins, à l'exception des percées qui existaient déjà à l'époque; depuis lors, elle s'est retirée d'environ 50 m. Vue depuis le</w:t>
      </w:r>
    </w:p>
    <w:p>
      <w:r>
        <w:t>Tribunal cantonal TC Page 7 de 14 lac, la ceinture de roseaux présente une brèche marquée; la rive consolidée avec les chalets apparaît comme un corps étranger. Eu égard aux objectifs de protection de l'IFP et des autres inventaires fédéraux, les chalets constituent une atteinte grave, renforcée par les lourdes interventions sur la rive. La végétation naturelle a été entièrement détruite par endroits et son développement est considérablement perturbée. La zone des chalets forme un élément artificiel dans un secteur de rive autrement très naturel dans l'ensemble. Bien qu'elle occupe une surface relativement petite en comparaison d'autres zones et que les activités de loisirs liées à l'utilisation des trois chalets soient comparativement faibles, elle constitue globalement une atteinte grave. Cette affirmation vaut également pour les chalets pris individuellement. (image supprimée) J. Le 10 juillet 2020, A.________ a fait opposition à la modification du PAC en tant que cette planification prévoit le démantèlement de sa cabane de pêche. Soulignant que sa situation n'est pas comparable avec celle des propriétaires de constructions mobilières érigées sur le domaine privé de l'Etat puisque lui-même est propriétaire du sol qui supporte la cabane, il s'est plaint pour l'essentiel d'une violation de la garantie de la propriété. Il a contesté que la mesure litigieuse dispose d'une base légale suffisante et qu'elle se révèle conforme au principe de la proportionnalité, la pondération des intérêts en présence qui a été faite étant incomplète et les effets de la cabane de pêche sur le biotope étant largement exagérés. Il a invoqué en outre une violation du droit fédéral, dès lors que la construction, non conforme à la zone, bénéficie de la situation acquise au sens de l'art. 24c de la loi du 22 juin 1979 sur l'aménagement du territoire (RS 700; LAT). A la suite de la séance de conciliation qui s'est déroulée le 26 mars 2021 - au cours de laquelle l'opposant a repris ses arguments, soulignant en outre que la cabane de pêche ne porte pas une atteinte plus grande à la nature que la place de tir d'aviation de Forel qui se trouve à proximité - l'opposition a été maintenue. K. Par décision du 30 novembre 2021, la DIME a joint l'opposition de A.________ à celles déposées par l'Association des riverains de la rive sud du lac de Neuchâtel et du lac de Morat ARSUD et par divers propriétaires de résidences de vacances sises sur le domaine privé de l'Etat (l'un d'entre eux étant propriétaire d'une petite partie du terrain supportant sa construction mobilière, à cheval pour le surplus sur le terrain de l'Etat). En substance, l'autorité a considéré que les opposants au bénéfice d'une autorisation à bien plaire doivent être considérés comme des locataires de l'Etat et qu'à ce titre, ils n'ont aucun droit acquis leur permettant d'exiger le maintien des chalets; s'appuyant sur l'expertise de la CFPN qui constate que toutes ces constructions provoquent une atteinte grave aux paysages et sites figurant dans les inventaires fédéraux, elle a retenu en accord avec les experts fédéraux qu'un intérêt de protection de la nature et du paysage prépondérant (par rapport aux intérêts personnels des opposants ou par rapport à d'autres intérêts publics tels que l'intérêt à la protection des rives, l'intérêt économique de la région ou à la protection du patrimoine) justifie le démantèlement des constructions. Dans ce contexte, elle a estimé que les griefs de violation des principes de la proportionnalité, de l'égalité de traitement, de la légalité ou de la bonne foi n'avaient aucune pertinence et que les critiques visant l'expertise fédérale n'étaient pas suffisantes pour admettre que celle-ci serait affectée de défauts justifiant de s'écarter de ses conclusions. En particulier, le grief de constatation erronée ou lacunaire des faits pertinents a été rejeté.</w:t>
      </w:r>
    </w:p>
    <w:p>
      <w:r>
        <w:t>Tribunal cantonal TC Page 8 de 14 S'agissant de l'opposition de A.________, la DIME a considéré que celui-ci ne peut pas invoquer le fait que sa cabane a bénéficié du statut de "construction existante" dans le PAC de 2002 pour exiger que cette situation soit maintenue dans l'actuelle révision du plan. Après plus de 20 ans, il est possible, selon l'autorité, de modifier le PAC en ordonnant le démantèlement litigieux. Dans ce sens, les principes appliqués aux oppositions formulées par les locataires du terrain nu de l'Etat s'appliquent mutatis mutandis au cas de A.________. Ni la garantie de la propriété, ni la garantie de la situation acquise ne s'opposent per se à une telle mesure. Si l'opposant estime que cette mesure constitue une expropriation matérielle et justifie une indemnisation pour expropriation, une procédure devra être menée après l'entrée en vigueur du PAC. Si cette procédure aboutit, l'Etat prendra en charge l'indemnisation et les frais de démantèlement sur la base des règles usuelles relatives à l'expropriation. La question de l'expropriation est donc indépendante de la procédure d'adoption du PAC car elle est subséquente et les mesures prévues par le PAC, avec les réserves qu'il prévoit, ne sont pas contraires au droit supérieur. L. Agissant le 14 janvier 2021, A.________ a contesté devant le Tribunal cantonal la décision du</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octobre 2025/cpf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