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75 vom 10. Oktober 2022</w:t>
      </w:r>
    </w:p>
    <w:p>
      <w:r>
        <w:t>FR Kantonsgericht, 2022-10-10, FR</w:t>
      </w:r>
    </w:p>
    <w:p>
      <w:r>
        <w:rPr>
          <w:b/>
        </w:rPr>
        <w:t xml:space="preserve">Quelle: </w:t>
      </w:r>
      <w:r>
        <w:t>https://mcp.opencaselaw.ch/entscheid/fr_gerichte_602_2021_75</w:t>
      </w:r>
    </w:p>
    <w:p>
      <w:r>
        <w:t>FR: FR_GERICHTE 602 2021 75 du 10 octobre 2022</w:t>
      </w:r>
    </w:p>
    <w:p>
      <w:r>
        <w:t>IT: FR_GERICHTE 602 2021 75 del 10 ottobre 2022</w:t>
      </w:r>
    </w:p>
    <w:p>
      <w:pPr>
        <w:pStyle w:val="Heading2"/>
      </w:pPr>
      <w:r>
        <w:t>Regeste</w:t>
      </w:r>
    </w:p>
    <w:p>
      <w:r>
        <w:t>Arrêt de la IIe Cour administrative du Tribunal cantonal | Raumplanung und Bauwesen</w:t>
      </w:r>
    </w:p>
    <w:p>
      <w:pPr>
        <w:pStyle w:val="Heading2"/>
      </w:pPr>
      <w:r>
        <w:t>Erwägungen</w:t>
      </w:r>
    </w:p>
    <w:p>
      <w:r>
        <w:rPr>
          <w:b/>
        </w:rPr>
        <w:t>E. 3</w:t>
      </w:r>
    </w:p>
    <w:p>
      <w:r>
        <w:t>LATeC); que,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w:t>
      </w:r>
    </w:p>
    <w:p>
      <w:r>
        <w:t>Tribunal cantonal TC Page 10 de 16 ss LATeC) relatives à l'établissement des plans d'affectation (ATF 132 II 408 consid. 4.2; 117 Ia 307 consid. 4b, arrêt TF 1C_575/2019 du 1er mars 2022 consid. 9.1).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Lorsqu'elle se prononce dans ce cadre, l'autorité communale dispose cependant de la liberté d'appréciation nécessaire à l'accomplissement de sa tâche (art. 2 al. 3 LAT); qu'en outre, aux termes de l'art. 18 LATeC, dès son adoption par le Conseil d’Etat, le plan directeur cantonal lie les autorités cantonales et communales (al. 1); que les inventaires fédéraux prévus à l'art. 5 de la loi du 1er juillet 1966 sur la protection de la nature et du paysage (LPN; RS 451) - dont fait partie l'ISOS (art. 1 de l'ordonnance du 9 septembre 1981 concernant l'Inventaire fédéral des sites construits à protéger en Suisse, OISOS; RS 451.12) -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Ces mesures lient ainsi non seulement les autorités dans l'exécution de leurs tâches, mais également les particuliers (ATF 135 II 209 consid. 2.1; arrêts TF 1C_545/2014 du 22 mai 2015 consid. 5.3; 1C_130/2014 du 6 janvier 2015 consid. 3.2); que,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(LARGEY, La protection du patrimoine in RDAF 2012 p. 295). Une atteinte demeure possible lorsqu'elle n'altère pas l'identité de l'objet protégé ni le but assigné à sa protection; celui-ci découle du contenu de la protection mentionné dans l'inventaire et les fiches qui l'accompagnent (LARGEY, p. 292; LEIMBACHER, Commentaire LPN ad art. 6 LPN n. 5 ss); que, selon la fiche ISOS concernant Surpierre, on constate que le château médiéval y figure comme élément individuel (EI) d'importance nationale avec un objectif de sauvegarde A, qui implique la sauvegarde intégrale de la substance. Le périmètre de l'aire du château (PE II) appartient quant à lui à la catégorie d'inventaire "ab", la catégorie "a" signifiant "partie indispensable pour le site" et la catégorie "b" signifiant "partie sensible pour l'image du site". Le plateau au-dessus de la vallée de la Broye (EE III) est une échappée dans l'environnement de catégorie a. Le PE II et l'EE III ont un objectif de sauvegarde "a", c'est-à-dire que l'ISOS préconise la sauvegarde de l'état existant en tant qu'espace agricole ou libre. Il postule de les placer en zone non aedificandi ou en zone agricole ou de verdure. L'EE III est considéré d'importance régionale. Outre les objectifs généraux de sauvegarde susmentionnés, la fiche ISOS formule quelques indications particulières à observer. Dans le contexte du présent litige, elle relève, s'agissant du village, qu'aucune construction nouvelle n'est tolérable en surépaisseur de la composante principale, afin de ne pas troubler sa structure</w:t>
      </w:r>
    </w:p>
    <w:p>
      <w:r>
        <w:t>Tribunal cantonal TC Page 11 de 16 linéaire clairement affirmée. A titre d'exemple, elle identifie plusieurs constructions (0.0.9) qui s'inscrivent en décalage avec le périmètre du village (1), notamment au Sud en débordement sur l'EE III; qu'en vertu du PDCant (Thème 115) les périmètres environnants (PE) - auxquels on assimile les échappées dans l'environnement (EE) - d'importance régionale selon l'ISOS avec objectif de sauvegarde a sont classés en catégorie 2. Pour cette catégorie de périmètres, les communes sont notamment enjointes par le PDCant de préciser dans leur PAL les secteurs constructibles et les secteurs inconstructibles caractéristiques pour la lecture du site; qu'en l'occurrence, selon le PAL contesté, les parcelles litigieuses que le recourant aimerait voir incluses en zone de protection du château et qui sont mentionnées dans l'EE III selon l'ISOS sont affectées dans un périmètre environnant qui, selon l'art. 14 al. 2 RCU, autorise les constructions nouvelles:  s'il s'agit de constructions agricoles;  si ces dernières sont complémentaires à des bâtiments d'exploitation existants et sont objectivement fondées,  si leur implantation et volumétrie n'altèrent pas des vues caractéristiques sur le site construit,  si les matériaux utilisés s'harmonisent avec les matériaux traditionnels et pour autant que des mesures paysagères soient prises afin d'atténuer l'effet des constructions sur le site (art. 14 al. 2 RCU). que, des transformations de bâtiments existants sont autorisés sous respect des mêmes conditions (art. 14 al. 3 RCU); qu'en substance, la DIME a considéré que, faute d'indications particulières dans la fiche ISOS concernant l'EE III, aucun motif ne justifie de s'écarter de la solution choisie par le planificateur local. A son avis, celle-ci respecte les exigences du PDCant relatives au PE de catégorie 2, même si des mesures plus incisives auraient été possibles. Elle a considéré que les cautèles posées par l'art. 14 al. 2 RCU sont suffisantes pour éviter de porter préjudice aussi bien au site du château du recourant qu'au périmètre construit protégé du village de Surpierre. Peu importe que, dans le cadre du préavis du programme de révision, le SBC ait précisé qu'il "s'agissait d'éviter des nouvelles constructions dans les périmètres environnants de catégorie 2 selon le PDCant et dans les environnements de bâtiments protégés… qui doivent si possibles rester libres de constructions". Pour l'autorité intimée, la commune est en effet restée dans les limites de son pouvoir d'appréciation; que l'examen du dossier montre que tel n'est pas le cas. Tout d'abord, et contrairement à ce qui est mentionné dans la décision attaquée, la fiche ISOS donne indirectement une indication précise sur la constructibilité dans le secteur. Elle mentionne clairement qu'aucune construction nouvelle n'est tolérable en surépaisseur de la composante principale du village constituée d'une structure linéaire clairement affirmée. Comme il a été dit plus haut, elle donne à cet égard l'exemple 0.0.9 du débordement d'une construction dans l'EE III au sud du périmètre construit. Or, à vouloir ériger une construction agricole complémentaire au bâtiment d'exploitation existant sur l'art. 509 RF (le seul du secteur à entrer véritablement en considération), on crée précisément la surépaisseur "intolérable" dénoncée par l'ISOS. La solution choisie par la commune se heurte donc à un objectif de sauvegarde de l'inventaire fédéral;</w:t>
      </w:r>
    </w:p>
    <w:p>
      <w:r>
        <w:t>Tribunal cantonal TC Page 12 de 16 qu'en outre, il ressort de la photographie aérienne figurant dans la partie en fait du présent arrêt, que le secteur litigieux borde le chemin d'accès au château, constitué en partie d'une allée d'arbres, et offre, objectivement, un véritable dégagement au bien culturel en cause. Peu importe que des futaies puissent, selon les saisons, masquer en partie l'ouvrage. Compte tenu de l'aire forestière présente ailleurs sur le périmètre du château, l'ouverture, même limitée, qui existe dans le prolongement des champs bordant le village, est la seule qui existe et s'avère ainsi d'autant plus importante. Au demeurant, le dégagement est également à prendre en considération vu depuis le château, et, dans ce sens, la présence des arbres n'est pas un véritable obstacle. En d'autres termes, contrairement aux affirmations de la commune, on ne saurait prétendre qu'une construction agricole dans le secteur litigieux n'aurait pas d'impact négatif sur le bien culturel d'importance nationale constitué par le château; qu'il est surtout essentiel de rappeler que le secteur litigieux n'a jamais été construit. Il a servi depuis des lustres de dégagement au château et au village. La fiche ISOS souligne bien cette caractéristique en insistant sur l'importance d'éviter des surépaisseurs de bâtiments dans la structure linéaire du village. On peine dès lors à comprendre la volonté du planificateur local de permettre la réalisation de constructions, même agricoles, à cet endroit. Sa démarche est d'autant plus surprenante qu'il a étendu par ailleurs le périmètre strict de protection du château jusqu'au Sud du manoir, bien loin du château. Vu les exigences de protection du patrimoine relatives à la fois à la structure du périmètre construit du village, qui doit être expressément préservée selon l'annotation particulière de la fiche ISOS, et au dégagement indispensable au château médiéval, dégagement qui a traversé les âges, il n'est pas sérieusement défendable de vouloir permettre des constructions dans le secteur; que, certes, à la lecture de l'art. 14 al. 2 RCU, on doit admettre qu'il n'est pas possible d'implanter n'importe quelle construction agricole dans le périmètre environnant litigieux. Dans ce sens, les craintes du recourant qui voit déjà des halles d'engraissement ou des silos se multiplier à ses portes sont clairement exagérées. Cela étant, il n'en demeure pas moins que des constructions agricoles du gabarit des bâtiments existants en zone village voisine peuvent en principe y être érigées. En effet, compte tenu de la formulation de la norme qui concerne expressément le site construit du village de Surpierre, c'est en fonction dudit village et non pas en fonction du besoin de dégagement du château que les restrictions en matière d'implantation et de volumétrie ont été ordonnées. Cela signifie qu'en l'état, un rural ou un hangar pourra en principe être construit s'il s'adapte au bâti existant. A défaut, la norme n'aurait aucun sens. Or, au risque de se répéter, il a été perdu de vue qu'un bâtiment créant une surépaisseur de constructions débordant dans le périmètre environnant n'est pas "tolérable", car contraire aux exigences du site, dont les deux composantes (château et village) postulent une inconstructibilité à cet endroit. L'intérêt à la protection du patrimoine n'est pas compatible avec l'implantation potentielle de constructions agricoles dans cette portion du périmètre environnant; que, face à cet intérêt public important, le souci de la commune de favoriser le maintien d'une activité agricole limitée dans la proximité de la zone village n'est, de loin, pas prépondérant. En prévoyant une réglementation spéciale sur un petit quadrilatère coupé du reste du périmètre environnant afin de permettre au seul propriétaire concerné de développer, cas échéant, son exploitation agricole, elle a manifestement commis un excès du pouvoir d'appréciation qui lui est reconnu en matière de planification locale. D'ailleurs, tous consultés, les propriétaires des parcelles en cause, y compris celui de l'art. 509 RF, ont déclaré ne pas s'opposer à une extension du périmètre de protection du château;</w:t>
      </w:r>
    </w:p>
    <w:p>
      <w:r>
        <w:t>Tribunal cantonal TC Page 13 de 16 que, partant, pour les motifs indiqués ci-dessus, il y a lieu d'annuler l'affectation des parcelles litigieuses dans un périmètre environnant autorisant les constructions agricoles. Sur ce point, le recours doit être admis et l'affaire renvoyée à la commune pour qu'elle aménage et mette à l'enquête publique un périmètre de protection qui interdit toute construction dans ce secteur, libre à elle de choisir une extension du périmètre de protection du château ou de prévoir un périmètre environnant spécifique avec interdiction de construire, ainsi que le permet le PDCant; que, pour le surplus, les autres griefs du recourant sont sans pertinence; qu'il se plaint en vain d'une violation de la garantie de la propriété qui serait liée aux restrictions posées par le règlement communal à sa liberté de propriétaire du château; que, tout d'abord, il saute aux yeux que ces restrictions bénéficient d'une base légale suffisante. Selon l'art. 78 al. 1 de la constitution fédérale, la protection de la nature et du patrimoine est du ressort des cantons. Sur cette base, le canton de Fribourg a édicté la LPBC. En matière de mise sous protection, l'art. 19 al. 1 let. a LPBC indique que peuvent être mis sous protection les biens culturels immeubles ainsi que les parties intégrantes et les accessoires qui présentent un intérêt propre. L'art. 22 LPBC relatif à l'étendue de la protection prévoit que, sauf disposition contraire, la protection d'un bien culturel s'étend à l'objet dans son ensemble, soit, pour les immeubles, aux structures et éléments extérieurs et intérieurs et, le cas échéant, aux abords, au site et aux objets archéologiques enfouis (al. 1). Lorsque des circonstances particulières le justifient, la protection peut être étendue à l'agencement intérieur (al. 2). L'art. 23 LPBC concernant les effets précise notamment que la mise sous protection a pour effets généraux d'obliger le propriétaire à conserver l'objet (al. 1). Elle peut être assortie d'effets complémentaires par des prescriptions sur les conditions de conservation et sur la mise en valeur de l'objet (al. 2). Si le propriétaire, la commune ou la Direction le demandent, les mesures de protection sont mentionnées au registre foncier (al. 3). La transformation d'un bien culturel immeuble protégé ne peut être autorisée que si elle ne porte pas atteinte à son caractère ou à celui du site (al. 4). Le déplacement ou la démolition d'un bien culturel immeuble protégé ne peut être autorisé que si des intérêts prépondérants le justifient. Il en va de même d'une transformation qui porte atteinte à son caractère (al. 5); qu'en matière de procédure, l'art. 20 LPBC prévoit enfin que les biens culturels immeubles sont mis sous protection par les instruments et selon les procédures de la législation sur l'aménagement du territoire et les constructions; qu'il ressort de ce qui précède que, pour un bâtiment de catégorie 1 d'importance nationale tel le château médiéval, la commune était manifestement habilitée par l'art. 22 al. 1 et 2 LPBC à prévoir dans son RCU une norme instituant une protection s'étendant aux élément extérieurs et intérieurs et à l'agencement intérieur. Elle pouvait également s'appuyer sur l'art. 23 al. 2, 4 et 5 LPBC pour poser des conditions complémentaires de conservation et des règles de transformation du bien protégé; que, par ailleurs, contrairement aux affirmations du recourant, la formulation de l'art. 16 RCU et de l'annexe 3 dudit règlement ne sort pas des limites de la loi et réserve à chaque fois le respect du principe de la proportionnalité, garanti expressément à l'art. 8 LPBC. Ainsi que le relève à juste titre l'autorité intimée, la règlementation choisie par la commune ne concerne que des situations dans lesquelles la protection du bien culturel impose une restriction compte tenu de la substance de l'objet protégé. On cherche en vain dans l'argumentation du propriétaire un élément qui permettrait de retenir un abus ou un excès de protection. En réalité, sur le principe, il est parfaitement normal qu'un</w:t>
      </w:r>
    </w:p>
    <w:p>
      <w:r>
        <w:t>Tribunal cantonal TC Page 14 de 16 bien culturel de catégorie 1 fasse l'objet d'une réglementation prévoyant une conservation plus sévère que celle applicable aux objets des catégories inférieures. La gradation prévue à l'art. 16 RCU - qui est usuelle en la matière - prévoit:  (catégorie 3) que la protection s'étend à l'enveloppe du bâtiment (façade et toiture), à la structure porteuse intérieure de la construction, à l'organisation générale des espaces intérieurs et aux objets (croix, fontaines..) qui doivent être laissés en place et conservés.  (catégorie 2) que la protection s'étend en plus aux éléments décoratifs des façades et aux éléments essentiels des aménagements intérieurs qui matérialisent cette organisation.  (catégorie 1) que la protection s'étend en plus aux éléments des aménagements intérieurs représentatifs en raison de la qualité artisanale ou artistique qu'ils représentent (revêtement de sols, plafonds, lambris, portes, poêles, décors…). que la protection instituée dans ces trois catégories est en outre précisée dans l'annexe 3 RCU. La lecture des prescriptions particulières applicables à chacune ne transgresse en rien le principe de la proportionnalité rappelé précédemment. En particulier, sur les points expressément critiqués par le recourant, la solution retenue par le planificateur local sur proposition du SBC n'apparaît pas excessive; qu'il n'est en effet pas question de requérir systématiquement, comme le prétend le propriétaire, la démolition des annexes qui altèrent le caractère du bâtiment en cas de transformation du bâtiment principal. Il s'agit d'une possibilité reconnue à l'autorité ("la démolition peut être requise" cf. ch. 1 let. a Annexe 3 RCU relatif à la catégorie 3). Liée par les principes de l'activité administrative et notamment par le principe de la proportionnalité (art. 8 al. 2 let. c CPJA; art. 8 LPBC), celle-ci n'ordonnera cette mesure que si elle en remplit les conditions. Il est donc exclu d'admettre que la règle de droit en tant que telle est attentatoire auxdits principes; que, de même, il ne s'agit pas d'interdire invariablement de nouveaux percements dans l'objet protégé, mais de les éviter, étant précisé que de nouvelles ouvertures peuvent exceptionnellement être autorisées dans le cas où la destination des locaux le justifie, sous réserve de conditions particulières de mise en œuvre (cf. ch. 2 let. a Annexe 3 RCU relatif à la catégorie 3). Il n'y a donc pas de violation du principe de la proportionnalité au niveau de la norme elle-même, dont le sens reste compatible avec ledit principe; que, s'agissant des aménagements intérieurs, il est prévu que les éléments les plus représentatifs des cloisons, plafonds et sols sont maintenus. Les réaménagements intérieurs sont étudiés en conséquence. Si, en raison de leur état de conservation, des éléments doivent être remplacés, ceux- ci seront réalisés sur le modèle des anciens (ch. Annexe 3 RCU relatif à la catégorie 2). Dans ce cas également, il n'est pas question de maintenir de manière indifférenciée tous les aménagements intérieurs, mais uniquement ceux qui sont les plus représentatifs. Du moment qu'une substance patrimoniale est présente, on cherche en vain en quoi cette règle pourrait s'avérer disproportionnée. Il n'est pas exigé en revanche de conserver ce qui n'a pas de valeur. En outre, il convient de relever que des réaménagements intérieurs restent possibles pour assurer l'habitabilité de lieux tout en conservant le patrimoine existant. Ce n'est donc pas au niveau de la réglementation, qui prévoit une pondération des intérêts concrets du propriétaire et de ceux de la conservation, que se pose la problématique de la proportionnalité, mais bien au stade de la mise en œuvre de la mesure de protection;</w:t>
      </w:r>
    </w:p>
    <w:p>
      <w:r>
        <w:t>Tribunal cantonal TC Page 15 de 16 qu'en réalité, en se prévalant de sa liberté de propriétaire, le recourant entend être seul juge de la conservation du bien culturel qu'il possède. Il perd de vue l'intérêt public, éminent dans le cas particulier, à la protection de l'objet mis sous protection. Dans ce contexte, il s'avère parfaitement conforme à la garantie de la propriété que des restrictions proportionnelles à la valeur patrimoniale en cause affectent, cas échéant de manière incisive, la libre disposition de l'immeuble et de son contenu représentatif par le propriétaire. Du moment que la réglementation laisse ouverte la possibilité d'un usage raisonnable de bâtiment, ainsi qu'il a été vu ci-dessus, on ne saurait admettre que la norme est inconstitutionnelle; qu'enfin, il faut souligner que le recourant ne peut pas être suivi lorsqu'il accuse le SBC d'une violation de l'autonomie communale sous prétexte que, dans le cadre de la procédure de révision du PAL, ce service a proposé la formulation de l'art. 16 RCU et de son annexe 3. Cette formulation a été acceptée par le planificateur local, qui a ainsi expressément endossé la réglementation qui lui était soumise. Dans la présente procédure, la commune n'a d'ailleurs émis aucune réserve sur le contenu de la norme. L'argument selon lequel le conseil communal aurait suivi la proposition simplement pour éviter un préavis négatif du SBC sur le PAL dans le domaine de la protection des biens culturels n'a aucune assise concrète dans le dossier. Du moment qu'il entre dans le cahier des charges du service de conseiller le planificateur dans cette matière technique (cf. PDCant Thème 115, ch. 3.1), il n'y a rien de surprenant qu'une règlementation-type ait été proposée à la commune. Cette dernière aurait pu la modifier pour autant qu'elle reste dans les limites de la loi, ce qu'elle n'a pas choisi de faire. Il n'y a là aucune pression inadmissible du service, ni, par la même occasion, aucune violation de l'autonomie communale. Au demeurant, il faut rappeler que, de manière générale, les règlementations-type adoptées par les communes sont favorables à la sécurité du droit pour autant qu'elles respectent les spécificités locales. Tel est bien le cas en l'espèce; que le recours est ainsi admis partiellement sur la question de la constructibilité du périmètre environnant litigieux et rejeté pour le surplus; qu'au vu de l'issue du recours, il se justifie de mettre la moitié des frais de procédure à la charge du recourant, qui n'obtient que partiellement gain de cause (art. 131 CPJA). L'Etat de Fribourg et la commune sont exonérés de leur part aux frais (art. 133 CPJA); que le recourant a droit, pour le même motif et dans la même proportion (½) à une indemnité de partie partielle (art. 137 et 138 CPJA); (dispositif en page suivante)</w:t>
      </w:r>
    </w:p>
    <w:p>
      <w:r>
        <w:t>Tribunal cantonal TC Page 16 de 16 la Cour arrête : I. Le recours est admis partiellement dans le sens des considérants. Il est rejeté pour le surplus. Partant, la décision attaquée du 14 avril 2021 est annulée en tant qu'elle approuve le plan d'aménagement local (PAL) de la Commune de Surpierre qui prévoit l'intégration des parcelles n° 506 et 779 RF ainsi que les parties en zone agricole des parcelles n° 582, 509, 510 et 511 RF dans un périmètre environnant constructible. Le PAL est annulé sur ce point et l'affaire est renvoyée à la commune pour que, dans une procédure d'adaptation de la planification aux conditions d'approbation, elle affecte les art. n° 506 et 779 RF ainsi que les parties en zone agricole des parcelles n° 582, 509, 510 et 511 RF dans un périmètre de protection inconstructible (extension de la zone de protection du château ou création d'un périmètre environnant spécifique inconstructible). II. Les frais de procédure sont mis par moitié, soit CHF 1'250.-, à la charge du recourant. Ils sont prélevés sur l'avance de frais effectuée, dont le solde CHF 1'250.- est restitué. III. Un montant de CHF 3'161.90 (y compris 226.10 de TVA) à verser à Me Anne Herren à titre d'indemnité de partie partielle est mis à la charge de l'Etat de Fribourg et de la commune à raison de CHF 1'580.95 chacun.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10 octobre 2022/cpf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