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59 vom 7. Juli 2021</w:t>
      </w:r>
    </w:p>
    <w:p>
      <w:r>
        <w:t>FR Kantonsgericht, 2021-07-07, FR</w:t>
      </w:r>
    </w:p>
    <w:p>
      <w:r>
        <w:rPr>
          <w:b/>
        </w:rPr>
        <w:t xml:space="preserve">Quelle: </w:t>
      </w:r>
      <w:r>
        <w:t>https://mcp.opencaselaw.ch/entscheid/fr_gerichte_602_2021_59</w:t>
      </w:r>
    </w:p>
    <w:p>
      <w:r>
        <w:t>FR: FR_GERICHTE 602 2021 59 du 7 juillet 2021</w:t>
      </w:r>
    </w:p>
    <w:p>
      <w:r>
        <w:t>IT: FR_GERICHTE 602 2021 59 del 7 luglio 2021</w:t>
      </w:r>
    </w:p>
    <w:p>
      <w:pPr>
        <w:pStyle w:val="Heading2"/>
      </w:pPr>
      <w:r>
        <w:t>Regeste</w:t>
      </w:r>
    </w:p>
    <w:p>
      <w:r>
        <w:t>Arrêt de la IIe Cour administrative du Tribunal cantonal | Beschwerde gegen Zwischenentscheide</w:t>
      </w:r>
    </w:p>
    <w:p>
      <w:pPr>
        <w:pStyle w:val="Heading2"/>
      </w:pPr>
      <w:r>
        <w:t>Erwägungen</w:t>
      </w:r>
    </w:p>
    <w:p>
      <w:r>
        <w:rPr>
          <w:b/>
        </w:rPr>
        <w:t>E. 1</w:t>
      </w:r>
    </w:p>
    <w:p>
      <w:r>
        <w:t>Déposé dans le délai et les formes prescrits – et l'avance des frais de procédure ayant été versée en temps utile – le recours est recevable en vertu de l'art. 114 al. 1 let. a et c du code fribourgeois du 23 mai 1991 de procédure et de juridiction administrative (CPJA; RSF 150.1). Le Tribunal cantonal peut donc entrer en matière sur ses mérites.</w:t>
      </w:r>
    </w:p>
    <w:p>
      <w:r>
        <w:rPr>
          <w:b/>
        </w:rPr>
        <w:t>E. 2.1</w:t>
      </w:r>
    </w:p>
    <w:p>
      <w:r>
        <w:t>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Une décision incidente n’est en aucun cas sujette à recours, si la décision au fond ne l’est pas en elle-même. L’art. 88 al. 2, 2ème phrase, est réservé (al. 3); La notion de préjudice irréparable de l’art. 120 al. 2 CPJA est la même que celle figurant à l’art. 45 de la loi fédérale du 20 décembre 1968 sur la procédure administrative (PA; RS 172.021), de sorte que la jurisprudence développée à ce propos peut être appliquée par analogie en droit cantonal. En principe, il est admis qu’en procédure administrative, la condition du préjudice irréparable est déjà remplie lorsque le recourant peut faire valoir un intérêt digne de protection à l’annulation ou à la modification immédiate de la décision incidente qu’il conteste (Gygi, Bundesverwaltungsrechts- pflege, 1983 p. 142). Cet intérêt peut être juridique ou de fait et englobe ainsi aussi les intérêts économiques de la partie, pour autant que le recours vise à empêcher autre chose qu’une simple prolongation de la procédure ou son renchérissement (ATF 136 II 30 consid. 1.2; 135 II 30 consid. 1.3.5; 116 Ib 344 consid. 1b; RFJ 1997 419; arrêt TC FR 602 2019 92 du 12 septembre 2019, consid. 4, 2A 06 65 du 8 mars 2007 consid. 1c; Bovay, Droit administratif, V. II, Les actes administratifs et leur contrôle, 2011, p. 714 s. et les références citées). Si l’on peut exiger que le désavantage que doit subir le recourant présente un certain poids, il n’est pas nécessaire cependant que le préjudice soit d’une importance existentielle (en droit zurichois, BEZ 1998 n° 33). Encore faut-il que le dommage encouru soit établi ou rendu vraisemblable, une simple éventualité ne suffisant pas (Schaer, Juridiction administrative neuchâteloise, 1995, p. 121).</w:t>
      </w:r>
    </w:p>
    <w:p>
      <w:r>
        <w:rPr>
          <w:b/>
        </w:rPr>
        <w:t>E. 2.2</w:t>
      </w:r>
    </w:p>
    <w:p>
      <w:r>
        <w:t>L'art. 167 de la loi fribourgeoise du 2 décembre 2008 sur l'aménagement du territoire et les constructions (LATeC; RSF 710.1),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w:t>
      </w:r>
    </w:p>
    <w:p>
      <w:r>
        <w:t>Tribunal cantonal TC Page 4 de 6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l’alinéa 3 (al. 4).</w:t>
      </w:r>
    </w:p>
    <w:p>
      <w:r>
        <w:rPr>
          <w:b/>
        </w:rPr>
        <w:t>E. 3.1</w:t>
      </w:r>
    </w:p>
    <w:p>
      <w:r>
        <w:t>Dans la présente occurrence, la recourante tente de s’opposer à la transmission du dossier à la DAEC pour l’examen du rétablissement de l’état de droit en application de l’art. 167 LATeC.</w:t>
      </w:r>
    </w:p>
    <w:p>
      <w:r>
        <w:rPr>
          <w:b/>
        </w:rPr>
        <w:t>E. 3.2</w:t>
      </w:r>
    </w:p>
    <w:p>
      <w:r>
        <w:t>Contrairement à ce que soutient la recourante, l’acte litigieux a pour objet de régler le déroulement de la procédure, sans y mettre un terme; il ne porte pas sur une question de fond en la réglant d’une manière définitive, mais sur une difficulté de procédure, soit la compétence de la DAEC en matière de permis de construire hors zone à bâtir en application de l’art 167 al. 4 LATeC. Le Tribunal ne peut que confirmer que par cette manière de procéder, il est permis de respecter le principe d'économie de procédure et d'éviter aux propriétaires des frais de constitution d'une demande de permis de construire dont l’issue paraît d’emblée compromise à ce stade. Renvoi est à cet égard fait aux observations de la DAEC du 23 juin 2021. En effet, en procédure de rétablissement de l’état de droit, les personnes à qui une décision incidente de transmission du dossier est adressée ne sont pas privées de la possibilité de contester ultérieurement la décision finale dans laquelle, d’une manière préjudicielle, il y aura lieu de se prononcer d’une manière définitive sur l’illégalité de la construction. C’est le lieu de noter qu’une mesure de rétablissement de l’état de droit ne peut pas être prononcée si la légalisation est souhaitée par les propriétaires et qu’elle est possible (cf. arrêt TC FR 602 2021 13 du 22 juin 2021). A la lumière de ce qui vient d’être dit, on peut se demander si la recourante a un intérêt digne de protection à recourir contre cette transmission. La question peut en revanche rester indécise dès lors que la décision incidente de la Lieutenante de Préfet est manifestement exempte de critique.</w:t>
      </w:r>
    </w:p>
    <w:p>
      <w:r>
        <w:rPr>
          <w:b/>
        </w:rPr>
        <w:t>E. 4.1</w:t>
      </w:r>
    </w:p>
    <w:p>
      <w:r>
        <w:t>L’avis de la recourante selon lequel la constatation des faits aurait été faite en violation de l’obligation d’instruire et surtout de l’entendre est erroné. En effet, elle perd de vue que la DAEC – par sa détermination du 10 mars 2021 – n’a pas rendu de décision formelle mais uniquement transmis son appréciation quant à la possibilité de la légalisation. Cette appréciation a été faite dans une procédure en cours dont le sort n’est pas encore scellé. Dans le cadre de l’instruction du dossier et en application de l’art. 167 LATeC, la DAEC aura l’obligation d’entendre la recourante, de compléter le dossier, de prendre les mesures idoines et de trancher la question de l’autorisation spéciale. De son côté, la recourante aura la possibilité d’exposer sa position devant la DAEC. Cas échéant, elle pourra même déposer un permis de construire pour les aménagements litigieux (cf. arrêt TC FR 602 2021 13 du 22 juin 2021). Cela signifie que la Lieutenante de Préfet pouvait parfaitement rendre sa décision incidente sans que cela viole à ce stade les droits de la recourante, en particulier son droit d’être entendue.</w:t>
      </w:r>
    </w:p>
    <w:p>
      <w:r>
        <w:rPr>
          <w:b/>
        </w:rPr>
        <w:t>E. 4.2</w:t>
      </w:r>
    </w:p>
    <w:p>
      <w:r>
        <w:t>Au surplus, la recourante n’invoque aucun argument de fond tendant à démontrer que l’appréciation de la Lieutenante de Préfet, selon laquelle la pergola et la piscine semblent ne pas pouvoir être légalisées, serait infondée.</w:t>
      </w:r>
    </w:p>
    <w:p>
      <w:r>
        <w:t>Tribunal cantonal TC Page 5 de 6 Selon l'art. 22 al. 1 de la loi du 22 juin 1979 sur l’aménagement du territoire (LAT; RS 700),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 En l'occurrence, il n'est pas contesté que les travaux exécutés ne sont pas nécessaires à une exploitation agricole et n'ont pas de vocation agricole, de sorte que ceux-ci ne sont pas conformes à l'affectation de la zone. Partant, il convient d'analyser si une autorisation exceptionnelle au sens des art. 24 ss LAT pourrait être délivrée. L'examen des conditions des art. 24, 24a, 24b, 24c, 24d et 24e LAT semble en effet pouvoir être d'emblée écarté, étant donné qu’il s’agit de constructions hors de la zone à bâtir qui ne sont pas imposées par leur destination (art. 24), qu'il ne s'agit pas d'un changement d'affectation ne nécessitant pas de travaux de transformation (art. 24a), qu'il n'est pas question d'une activité accessoire à une exploitation agricole (art. 24b), qu’il ne s’agit pas non plus d’une installation qui peut être utilisée conformément à sa destination mais qui n’est plus conforme à l'affectation de la zone (art. 24c), qu'il ne s'agit ni d'un bâtiment d'habitation agricole (art. 24d al. 1), ni d'une construction ou installation jugée digne d'être protégée (art. 24d al. 2), et que la construction n'est pas destinée à détenir des animaux (art. 24e). A l’égard de l’art. 24c LAT, on ne voit pas comment la construction d’une piscine avec couvert et pergola pourraient être nécessaire à un usage d'habitation répondant aux normes usuelles ou à un assainissement énergétique ou encore contribuer à une meilleure intégration de l’habitation dans le paysage. Selon la jurisprudence du Tribunal fédéral, l'installation d'une piscine en zone agricole constitue une infraction manifeste aux principes de la préservation des zones non constructibles et la distinction fondamentale entre espace bâti et non-bâti (arrêt TF 1C_564/2010 du 7 juillet 2011 consid. 2.4). La Haute Cour qualifie les piscines d’installations d'agrément qui ne sont plus autorisées en zone agricole en application du droit actuel (arrêt TF 1C_464/2015 du 14 juin 2016 consid. 2.4.). En ce qui concerne le permis de construire que la recourante a obtenu pour construire une piscine naturelle en zone agricole, le Tribunal ne peut que s’étonner de la différence que la DAEC fait entre la construction d’une piscine naturelle et d’une piscine "ordinaire". Dès lors que de toute évidence, il s’agit dans les deux cas d’une construction nécessitant des travaux sans lien avec l’agriculture, il faut sérieusement douter du fait que le permis initial a été octroyé dans le respect des dispositions fédérales applicables; l’autorité devra ainsi soumettre sa pratique et sa directive à un réexamen.</w:t>
      </w:r>
    </w:p>
    <w:p>
      <w:r>
        <w:rPr>
          <w:b/>
        </w:rPr>
        <w:t>E. 5.1</w:t>
      </w:r>
    </w:p>
    <w:p>
      <w:r>
        <w:t>Au vu de ce qui précède, le recours (602 2021 59) doit être rejeté dans la mesure de sa recevabilité.</w:t>
      </w:r>
    </w:p>
    <w:p>
      <w:r>
        <w:rPr>
          <w:b/>
        </w:rPr>
        <w:t>E. 5.2</w:t>
      </w:r>
    </w:p>
    <w:p>
      <w:r>
        <w:t>La demande tendant à restituer l’effet suspensif (602 2021 60) est devenue sans objet.</w:t>
      </w:r>
    </w:p>
    <w:p>
      <w:r>
        <w:t>Tribunal cantonal TC Page 6 de 6</w:t>
      </w:r>
    </w:p>
    <w:p>
      <w:r>
        <w:rPr>
          <w:b/>
        </w:rPr>
        <w:t>E. 6</w:t>
      </w:r>
    </w:p>
    <w:p>
      <w:r>
        <w:t>Il appartient à la recourante de supporter les frais de procédure en application de l’art. 131 CPJA. Eu égard à l’issue du recours, il n’est pas alloué d’indemnité de partie. la Cour arrête : I. Le recours 602 2021 59 est rejeté dans la mesure de sa recevabilité. II. Les frais de procédure sont fixés à CHF 2000.-. Ils sont compensés avec l’avance de frais effectuée. III. La cause 602 2021 60, devenue sans objet, est rayée du rôle.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juillet 2021/jfr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