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20 vom 12. Oktober 2021</w:t>
      </w:r>
    </w:p>
    <w:p>
      <w:r>
        <w:t>FR Kantonsgericht, 2021-10-12, FR</w:t>
      </w:r>
    </w:p>
    <w:p>
      <w:r>
        <w:rPr>
          <w:b/>
        </w:rPr>
        <w:t xml:space="preserve">Quelle: </w:t>
      </w:r>
      <w:r>
        <w:t>https://mcp.opencaselaw.ch/entscheid/fr_gerichte_602_2021_20</w:t>
      </w:r>
    </w:p>
    <w:p>
      <w:r>
        <w:t>FR: FR_GERICHTE 602 2021 20 du 12 octobre 2021</w:t>
      </w:r>
    </w:p>
    <w:p>
      <w:r>
        <w:t>IT: FR_GERICHTE 602 2021 20 del 12 ottobre 2021</w:t>
      </w:r>
    </w:p>
    <w:p>
      <w:pPr>
        <w:pStyle w:val="Heading2"/>
      </w:pPr>
      <w:r>
        <w:t>Regeste</w:t>
      </w:r>
    </w:p>
    <w:p>
      <w:r>
        <w:t>Arrêt de la IIe Cour administrative du Tribunal cantonal | Raumplanung und Bauwesen</w:t>
      </w:r>
    </w:p>
    <w:p>
      <w:pPr>
        <w:pStyle w:val="Heading2"/>
      </w:pPr>
      <w:r>
        <w:t>Erwägungen</w:t>
      </w:r>
    </w:p>
    <w:p>
      <w:r>
        <w:rPr>
          <w:b/>
        </w:rPr>
        <w:t>E. 6</w:t>
      </w:r>
    </w:p>
    <w:p>
      <w:r>
        <w:t>Les recourants invoquent en outre une violation de l'art. 2 LAT. Dès lors que le déploiement complet de la technologie 5G en Suisse à pleine puissance implique l'implantation de quelque 26'000 nouvelles antennes, ils soutiennent que l'on est en présence d'une tâche dont l'accomplissement a des effets sur l'organisation du territoire. Ils estiment ainsi qu'une planification directrice, ou à tout le moins, communale ou intercommunale au stade de l'affectation, est indispensable afin d'éviter la prolifération des antennes et l'absence de coordination entre les opérateurs.</w:t>
      </w:r>
    </w:p>
    <w:p>
      <w:r>
        <w:rPr>
          <w:b/>
        </w:rPr>
        <w:t>E. 6.1</w:t>
      </w:r>
    </w:p>
    <w:p>
      <w:r>
        <w:t>En vertu du droit fédéral, les installations de téléphonie mobile n'ont en principe pas à faire l'objet d'une planification spéciale (cf. notamment ATF 142 I 26 / JdT 2017 I 226 consid. 4.2 et les références citées; arrêt TF 1A.140/2003 du 18 mars 2004 consid. 3.2 et les références citées, dans</w:t>
      </w:r>
    </w:p>
    <w:p>
      <w:r>
        <w:t>Tribunal cantonal TC Page 19 de 22 lequel il est fait référence aux technologies GSM et UMTS; arrêt TC BE 100.2020.27 du 6 janvier 2021 consid. 9.1); elles doivent en priorité être érigées en zone constructible (ATF 138 II 173 consid. 5). Lorsque l'autorité cantonale ou communale décide d'établir une planification pour ce type d'installations, cette planification peut être positive, négative ou en cascade (ATF 141 II 245 consid. 2.1). La législation cantonale sur l'aménagement du territoire n'impose pas d'obligation de planification pour les installations de téléphonie mobile. La commune de CH.________ n'a pas édicté de planification, positive ou négative, pour ce type d'installations. Dans ce contexte, la référence, par les recourants, à un article de presse paru en avril 2021, dont il ressort que la Ville de CL.________ aurait voté un budget "pour élaborer un document qui vise à coordonner la pose d'antennes", vient précisément accréditer la thèse selon laquelle il incombe le cas échéant aux autorités communales de réglementer ce sujet, ce qui n'est pas le cas ici. Dans le même ordre d'idées, la question déposée le 20 avril 2021 par deux députés au Grand Conseil fribourgeois (réf. 2021-CE-141) traduit sur le plan politique les inquiétudes de la population, mais ne saurait, en l'état tout au moins, justifier de s'écarter des principes développés précédemment.</w:t>
      </w:r>
    </w:p>
    <w:p>
      <w:r>
        <w:rPr>
          <w:b/>
        </w:rPr>
        <w:t>E. 6.2</w:t>
      </w:r>
    </w:p>
    <w:p>
      <w:r>
        <w:t>Sur le vu de ce qui précède, il n'existe aucune obligation de planification pour les installations de téléphonie mobile. Sur le principe, les opérateurs sont en droit d'obtenir des permis de construire pour leurs installations de téléphonie mobile dans la zone à bâtir, pour autant que l'ORNI et les autres dispositions applicables, notamment en matière de droit de l'aménagement ou de protection du patrimoine, soient respectées. Partant, ce grief doit être rejeté.</w:t>
      </w:r>
    </w:p>
    <w:p>
      <w:r>
        <w:rPr>
          <w:b/>
        </w:rPr>
        <w:t>E. 7</w:t>
      </w:r>
    </w:p>
    <w:p>
      <w:r>
        <w:t>Dans un grief supplémentaire, les recourants remettent en cause l'effet anticipé positif du plan. Selon eux, il convient de s'écarter de l'accord de la commune à cet égard, vu le préavis, défavorable qu'elle a rendu quant au projet lui-même. Ils relèvent en particulier l'absence d'intérêt (public ou privé) prépondérant justifiant une telle mesure, notamment du fait qu'une couverture 4G est déjà assurée et qu'il n'existe aucune urgence d'assurer une couverture 5G. En outre, l'intérêt public à la protection d'un secteur protégé et au respect du principe de précaution doit selon eux prévaloir sur l'intérêt purement privé de l'intimée.</w:t>
      </w:r>
    </w:p>
    <w:p>
      <w:r>
        <w:rPr>
          <w:b/>
        </w:rPr>
        <w:t>E. 7.1</w:t>
      </w:r>
    </w:p>
    <w:p>
      <w:r>
        <w:t>Selon l'art. 91 al. 1 LATeC, dès la mise à l’enquête publique des plans et règlements et jusqu’à leur approbation par la Direction, aucun permis ne peut être délivré pour des projets prévus sur des terrains compris dans le plan. L'alinéa 2 de la même disposition précise que, toutefois, moyennant l’accord préalable de la commune et du Service, l’autorité compétente en matière de permis de construire peut autoriser des constructions et installations conformes au plan pour éviter des retards dommageables.</w:t>
      </w:r>
    </w:p>
    <w:p>
      <w:r>
        <w:rPr>
          <w:b/>
        </w:rPr>
        <w:t>E. 7.2</w:t>
      </w:r>
    </w:p>
    <w:p>
      <w:r>
        <w:t>Il convient tout d'abord de relever que le fait que la Commune de CH.________ ait préavisé défavorablement le projet litigieux ne l'empêchait pas d'accorder l'effet anticipé positif au plan. Cette notion est en effet liée à l'existence d'une révision des plans d'aménagement locaux. Or, en l'occurrence, la parcelle sur laquelle se trouve l'installation litigieuse n'est pas touchée par des modifications particulières dans le contexte de la révision du PAL; cela ressort notamment du préavis du SeCA, qui indique que la zone dans laquelle le futur projet devra s'implanter n'a pas été touchée par la révision générale du plan d'aménagement local de la commune de CH.________. Cette dernière n'a pas remis en question son choix ultérieurement.</w:t>
      </w:r>
    </w:p>
    <w:p>
      <w:r>
        <w:t>Tribunal cantonal TC Page 20 de 22 Au surplus, il ressort du préavis du Service des biens culturels que si "le secteur concerné appartient à la catégorie 2 de périmètre à protéger selon le plan directeur cantonal", le projet n'est toutefois "pas situé dans un périmètre de protection du site construit, ni de l'environnement du site construit"; ledit Service a en outre constaté que "l'installation est déjà existante". Au vu de l'ensemble de ce qui précède, on ne saurait suivre les recourants lorsqu'ils invoquent un intérêt public prépondérant à la protection dudit secteur.</w:t>
      </w:r>
    </w:p>
    <w:p>
      <w:r>
        <w:rPr>
          <w:b/>
        </w:rPr>
        <w:t>E. 8</w:t>
      </w:r>
    </w:p>
    <w:p>
      <w:r>
        <w:t>Dans un dernier argument, les recourants allèguent que l'installation litigieuse ne respecte pas la distance minimale à la forêt située de l'autre côté de la route cantonale.</w:t>
      </w:r>
    </w:p>
    <w:p>
      <w:r>
        <w:rPr>
          <w:b/>
        </w:rPr>
        <w:t>E. 8.1</w:t>
      </w:r>
    </w:p>
    <w:p>
      <w:r>
        <w:t>L'art. 17 al. 1 de la loi du 4 octobre 1991 sur les forêts (LFo; RS 921.0) prévoit que les constructions et installations à proximité de la forêt peuvent être autorisées que si elles n’en compromettent ni la conservation, ni le traitement, ni l’exploitation. L'al. 2 ajoute que les cantons fixent la distance minimale appropriée qui doit séparer les constructions et les installations de la lisière de la forêt. Cette distance est déterminée compte tenu de la situation et de la hauteur prévisible du peuplement. L'art. 26 al. 1 de la loi cantonale du 2 mars 1999 sur les forêts et la protection contre les catastrophes naturelles (LFCN; RSF 921.1) prévoit ainsi qu'aucune construction ou installation non forestière, aucun dépôt permanent ou temporaire ne peut être érigé à moins de 20 mètres de la forêt. L'al. 2 précise que des dérogations peuvent être accordées par l'autorité compétente pour autoriser la construction. La demande de dérogation doit être jointe à la demande de permis de construire; elle est accompagnée de l'avis préalable du ou de la propriétaire de la forêt concernée. L'art. 31 du Règlement communal d'urbanisme de CH.________ fixe également la distance minimale de construction à la limite de l'aire forestière à 20 mètres, à moins que le plan d’affectation des zones ou un plan d'aménagement de détail ne donne d'autres indications. En vertu de l'art. 69 al. 1 LATeC, le maintien, l'entretien et la rénovation en vue d'une adaptation aux standards actuels des constructions et installations légalisées qui ne sont plus conformes à l'affectation de la zone ou aux prescriptions de construction sont garantis. L'al. 2 ajoute qu'un changement d'affectation ou un agrandissement peut être autorisé pour les constructions et installations visées à l'alinéa 1, à condition que la non-conformité au droit en vigueur ne soit pas fondamentalement aggravée et qu'aucun intérêt prépondérant privé ou public ne s'y oppose. Le message du 20 novembre 2007 du Conseil Etat accompagnant le projet de loi sur l'aménagement du territoire et les constructions (BGC 2008 1274, 1297 ad art. 68 et 69) précise à ce sujet que: "Avec la nouvelle formulation proposée à l'article 68 [devenu l'art. 69] al. 1, le principe de la garantie de la situation acquise couvre également les travaux de rénovation en vue d'une adaptation aux standards actuels. Les limites pour une autorisation de changement d'affectation (précision par rapport au régime actuel) ou d'agrandissement d'une construction non conforme sont désormais constituées par l'aggravation de la non-conformité et la présence d'un intérêt prépondérant opposé (al. 2). La disposition ne subordonne plus les possibilités de changement d'affectation et d'agrandissement à l'accord préalable de la commune, laquelle pourra évidemment toujours se prononcer sur la demande dans son préavis, lorsque le dossier est soumis à la procédure ordinaire. En outre, la disposition légale donne également la compétence au conseil communal d'appliquer l'article 68 [actuellement, 69] pour les constructions soumises à la procédure simplifiée (dans les</w:t>
      </w:r>
    </w:p>
    <w:p>
      <w:r>
        <w:t>Tribunal cantonal TC Page 21 de 22 limites posées par cet article; même si l'on peut penser que les cas relatifs à ces constructions et tombant dans ces limites seront peu nombreux)".</w:t>
      </w:r>
    </w:p>
    <w:p>
      <w:r>
        <w:rPr>
          <w:b/>
        </w:rPr>
        <w:t>E. 8.2</w:t>
      </w:r>
    </w:p>
    <w:p>
      <w:r>
        <w:t>En l'espèce, une mesure au moyen du logiciel Google Maps donne une distance à la lisière de la forêt d'environ 17 mètres, de sorte que l'installation litigieuse ne semble a priori pas respecter la distance minimale de 20 mètres prévue à l'art. 26 al. 1 LFCN. Par ailleurs, aucune dérogation ne figure effectivement au dossier de la cause. On relève au passage que la proximité avec une surface forestière a été dûment mentionnée par l'intimée dans le formulaire de requête (point 3.1.3 in fine). Cela étant, il ressort des documents liés à la demande initiale de permis de construire, dont la production a été requise d'office auprès de la Préfecture de la Glâne par le délégué à l'instruction, que l'installation en question a été érigée en 1995, soit avant que n'entre en vigueur la LFCN, fixant la limite litigieuse conformément aux instructions du législateur fédéral. La présente procédure touche donc à la modification d'une installation érigée voilà plus de 20 ans, sans que sa présence à proximité de la forêt n'ait jusqu'ici soulevé de question. Dans ce contexte, on peut légitimement douter de la nécessité de requérir une dérogation dans le cadre de la présente procédure, ce d'autant que la structure physique n'est que marginalement modifiée. On peut en outre douter qu'un examen du cas d'espèce puisse avoir lieu à l'aune de l'art. 69 LATeC, dès lors que cette disposition vise les constructions et installations légalisées qui ne sont plus conformes à l'affectation de la zone ou aux prescriptions de construction, ce qui n'est pas le cas ici. Le serait-elle qu'elle ne conduirait quoi qu'il en soit pas à justifier le refus du permis de construire litigieux. Compte tenu de la modification relativement mineure opérée sur l'installation en question (changement des antennes), il n'en découle en effet pas d'aggravation majeure sous l'angle de la non-conformité au droit en vigueur. Plus particulièrement, on ne voit pas en quoi l'installation précitée serait susceptible de compromettre la conservation, le traitement ou encore l’exploitation de la forêt située à proximité, d'autant que, comme rappelé plus haut, elle n'a jusqu'ici jamais posé de problème à cet égard durant la dernière vingtaine d'années. On ne distingue pas non plus quel (autre) intérêt prépondérant, privé ou public, serait susceptible de s'y opposer. On relève en particulier que dite forêt est la propriété de la commune de CH.________ qui n'a émis aucun commentaire à cet égard dans ses déterminations. Il sied enfin de constater que les bâtiments sis le long de la route cantonale, de part et d'autre de la parcelle où se trouve le mât litigieux, se trouvent a priori à des distances similaires à la forêt. Compte tenu de l'ensemble des circonstances, ce grief doit être rejeté.</w:t>
      </w:r>
    </w:p>
    <w:p>
      <w:r>
        <w:rPr>
          <w:b/>
        </w:rPr>
        <w:t>E. 8.3</w:t>
      </w:r>
    </w:p>
    <w:p>
      <w:r>
        <w:t>Les recourants se prévalent enfin d'une violation de la clause d'esthétique et d'intégration, en se référant à la jurisprudence fédérale ainsi qu'à l'art. 125 LATeC. A ce titre, ils opposent à la garantie de la propriété et à la liberté économique de l'intimée les intérêts suivants: principe de précaution, protection d'un secteur bâti d'importance nationale et protection du droit à la vie des habitants des LUS n° 3 et 10. Cette argumentation est manifestement infondée: la clause en question a en effet pour mission de garantir une intégration harmonieuse d'une construction ou une installation au sein de l'environnement bâti. Or, les arguments soulevés par les recourants sont sans rapport direct avec cette thématique (précaution, droit à la vie), respectivement sont invoqués de façon bien trop générale. On ne saurait non plus invoquer la protection d'un secteur bâti d'importance nationale, le Service des biens culturels ayant indiqué que le projet n'était "pas situé dans un périmètre de protection du site construit, ni de l'environnement du site construit".</w:t>
      </w:r>
    </w:p>
    <w:p>
      <w:r>
        <w:t>Tribunal cantonal TC Page 22 de 22 En définitive, au vu de l'implantation de longue date dans le milieu bâti et de la nature pour le moins discrète de la modification (changement d'antennes au sommet d'un mât existant), la Cour ne discerne pas de motif objectif pouvant justifier de refuser l'octroi du permis de construire sous l'angle de dite clause.</w:t>
      </w:r>
    </w:p>
    <w:p>
      <w:r>
        <w:rPr>
          <w:b/>
        </w:rPr>
        <w:t>E. 9</w:t>
      </w:r>
    </w:p>
    <w:p>
      <w:r>
        <w:t>Il résulte de ce qui précède que, mal fondé, le recours (602 2021 20) doit être rejeté. Partant, les décisions rendues par le préfet le 7 décembre 2020 sont confirmées. L'affaire étant jugée au fond, la requête tendant à l'octroi de l'effet suspensif du recours (602 2021 146) est devenue sans objet. Les frais de procédure sont mis solidairement à la charge des recourants qui succombent, conformément à l'art. 131 CPJA. Ils sont fixés selon les art. 1 et 2 du tarif fribourgeois du 17 décembre 1991 des frais de procédure et des indemnités en matière de juridiction administrative (RSF 150.12). Dans la mesure où l'intimée a agi par le biais de son service juridique, sans faire appel à un mandataire extérieur, elle n'a pas droit à une indemnité de partie. la Cour arrête: I. Le recours (602 2021 20) est rejeté. II. La requête tendant à l'octroi de l'effet suspensif (602 2021 146), devenue sans objet, est rayée du rôle. III. Les frais de procédure, fixés à CHF 3'000.-, sont solidairement mis à la charge des recourants. Ils sont compensés avec l'avance de frais versée. IV. Il n'est pas alloué d'indemnité de partie. V. Notification. Cette décision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12 octobre 2021/jfr/mba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