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183 vom 24. Januar 2023</w:t>
      </w:r>
    </w:p>
    <w:p>
      <w:r>
        <w:t>FR Kantonsgericht, 2023-01-24, FR</w:t>
      </w:r>
    </w:p>
    <w:p>
      <w:r>
        <w:rPr>
          <w:b/>
        </w:rPr>
        <w:t xml:space="preserve">Quelle: </w:t>
      </w:r>
      <w:r>
        <w:t>https://mcp.opencaselaw.ch/entscheid/fr_gerichte_602_2021_183</w:t>
      </w:r>
    </w:p>
    <w:p>
      <w:r>
        <w:t>FR: FR_GERICHTE 602 2021 183 du 24 janvier 2023</w:t>
      </w:r>
    </w:p>
    <w:p>
      <w:r>
        <w:t>IT: FR_GERICHTE 602 2021 183 del 24 gennaio 2023</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un propriétaire voisin, touché dans ses intérêts par la décision préfectorale rejetant son opposition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2.1</w:t>
      </w:r>
    </w:p>
    <w:p>
      <w:r>
        <w:t>Par le permis de construire, l'Etat vérifie la conformité du projet à l'affectation de la zone et aux règles de construction qui régissent celle-ci. Il garantit la sécurité, la salubrité et la fonctionnalité des constructions (art. 1 let. j de la Loi cantonale sur l'aménagement du territoire et les constructions (LATeC; RSF 710.1).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w:t>
      </w:r>
    </w:p>
    <w:p>
      <w:r>
        <w:t>Tribunal cantonal TC Page 5 de 9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2.2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 TC FR 602 2020 49 du 25 août 2020 consid. 2.2).</w:t>
      </w:r>
    </w:p>
    <w:p>
      <w:r>
        <w:rPr>
          <w:b/>
        </w:rPr>
        <w:t>E. 3.1</w:t>
      </w:r>
    </w:p>
    <w:p>
      <w:r>
        <w:t>Le recourant conteste, tout d'abord, le bien-fondé de la dérogation concernant les distances à la route côté Est. En effet, la pertinence de la dérogation aurait été analysée uniquement en lien avec la situation à l'Est de la parcelle. Selon le recourant, l'examen aurait dû porter sur la construction projetée dans son ensemble. La commune et l'autorité intimée n'auraient notamment pas tenu compte du lourd impact sur la sécurité du trafic à cet endroit ni du fait que toutes les autres parcelles du quartier respectent les distances à la route. Les besoins futurs et présents d'élargissement de la route n'auraient également pas été pris en considération. Finalement, aucune solution alternative n'aurait été examinée. Par conséquent, cette dérogation aurait été octroyée en violation de l'art. 148 LATeC et de l'art. 119 al. 1 LR.</w:t>
      </w:r>
    </w:p>
    <w:p>
      <w:r>
        <w:rPr>
          <w:b/>
        </w:rPr>
        <w:t>E. 3.2</w:t>
      </w:r>
    </w:p>
    <w:p>
      <w:r>
        <w:t>La loi sur les routes invoquée par le recourant est désormais abrogée et a été remplacée dès le 1er janvier 2023 par la loi cantonale du 5 novembre 2021 sur la mobilité (LMob, RSF 780.1). Selon l'art. 208 LMob relatif aux dispositions transitoires en matière de permis de construire, il est prévu que "les demandes de permis de construire mises à l'enquête publique avant l'entrée en vigueur de la présente loi sont traitées sur la base de la loi sur l'aménagement du territoire et les constructions". Or, selon l'art. 134 al. 1 LATeC, "les prescriptions sur les distances de la législation spéciale (qui comprennent les distances à la route) sont réservées". La LATeC ne donne donc pas directement la réponse à la question. Par conséquent, du moment que l'art. 208 LMob n'a pas fait l'objet de commentaire dans le message et a été accepté sans discussion par le Grand Conseil, sa portée n'est pas claire s'agissant du droit transitoire applicable à la question particulière des distances à la route. Compte tenu du contexte et du fait que l'art. 208 LMob fixe comme critère temporel la date de mise à l'enquête du projet de construction, on peut admettre néanmoins qu'un projet de construction mis à l'enquête publique avant l'entrée en vigueur de la LMob reste soumis aux anciennes règles. Au demeurant, on doit constater que l'art. 145 al. 1 let. a LMob ne subordonne plus à des "circonstances spéciales" l'octroi d'une dérogation, mais exige uniquement que la réduction de distance ne soit pas contraire à l'intérêt public et ne cause pas de préjudice aux voisins.</w:t>
      </w:r>
    </w:p>
    <w:p>
      <w:r>
        <w:t>Tribunal cantonal TC Page 6 de 9</w:t>
      </w:r>
    </w:p>
    <w:p>
      <w:r>
        <w:rPr>
          <w:b/>
        </w:rPr>
        <w:t>E. 3.3</w:t>
      </w:r>
    </w:p>
    <w:p>
      <w:r>
        <w:t>Selon l'art. 94 al. 3 LR,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Les dispositions exceptionnelles ou dérogatoires, telles que l'art. 94 al. 3 LR,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(arrêts TC FR 602 2017 98 du 13 février 2018 consid. 4a; TA FR 2A 01 8 du 13 mars 2001 consid. 3; pour le tout, TC FR 602 2011 43 du 8 février 2012 consid. 5). S'agissant plus spécifiquement d'une dérogation à la distance à la route, Il ne s'agit pas de permettre une utilisation optimale de la parcelle, mais bien de moduler la construction en fonction de besoins objectifs, qui, à défaut de dérogation, ne pourraient pas être satisfaits. Du moment que les buts assignés à la règle concernant la distance à la route sont respectés - visibilité suffisante, absence d'ombre excessive, limitation des nuisances (cf. art. 93 al. 2 LR) auquel on peut ajouter l'éventuelle nécessité de garder une bande de terrain non construite en vue de l'agrandissement de la route - les circonstances spéciales de l'art. 93 al. 4 LR peuvent aussi consister à permettre des aménagements utiles, qui, sinon, ne trouveraient pas leur place dans le projet de construction (arrêt TC FR 602 2021 55/57 du 1er novembre 2021 consid. 4).</w:t>
      </w:r>
    </w:p>
    <w:p>
      <w:r>
        <w:rPr>
          <w:b/>
        </w:rPr>
        <w:t>E. 3.4</w:t>
      </w:r>
    </w:p>
    <w:p>
      <w:r>
        <w:t>Dans sa décision d'octroi de la dérogation du 31 août 2021, la commune a indiqué les circonstances spéciales justifiant en l'espèce l'octroi de cette autorisation exceptionnelle. En effet, la dérogation ne concernant qu'une partie enterrée du bâtiment ne péjore en aucun cas la situation actuelle, que ce soit du point de vue de la sécurité des usagers de la route et des dessertes, mais également du point de vue des voisins et futurs résidents du projet, s'agissant de leur bien-être. Le SPPAM avait rendu un premier préavis défavorable considérant que la construction d'un abri de 17 places protégées était obligatoire. A cette fin, les plans ont été adaptées et un préavis favorable a été rendue par cette autorité le 24 février 2021.</w:t>
      </w:r>
    </w:p>
    <w:p>
      <w:r>
        <w:t>Tribunal cantonal TC Page 7 de 9 Dans son préavis du 2 octobre 2020, s'agissant de la sécurité du trafic, le SMo a indiqué que le projet était conforme à la législation en vigueur.</w:t>
      </w:r>
    </w:p>
    <w:p>
      <w:r>
        <w:rPr>
          <w:b/>
        </w:rPr>
        <w:t>E. 3.5</w:t>
      </w:r>
    </w:p>
    <w:p>
      <w:r>
        <w:t>A l'examen des plans et pareillement à la commune, la Cour estime elle aussi que des circonstances objectives justifient l'octroi de la dérogation. En effet, on ne peut que constater que la dérogation en question porte sur la distance à la route d'un abri PC, répondant à une exigence d'intérêt public, situé en sous-sol. Il ne s'agit pas de favoriser une utilisation optimale du terrain, mais d'éviter de saboter les possibilités de construire sur un terrain en zone à bâtir par des exigences déraisonnables en matière de distance à la route. A cet égard, il faut prendre acte de la nature de cette route. Il s'agit d'un simple chemin d'accès qui ne dessert que peu d'utilisateurs potentiels et dont le trafic est très faible. Vu l'étroitesse du chemin, il est exclu d'y circuler rapidement, de sorte qu'à l'instar du SMo, on doit reconnaître que la sécurité routière n'est pas mise en péril par une dérogation pour une construction en sous-sol. En outre, il sied de relever que contrairement à ce que soutient le recourant, la nécessité d'élargissement de cette route n'est – et de loin – pas démontrée. Au contraire, s'agissant d'une route privée faisant l'objet de servitudes, ce type d'aménagement ne répond pas aux mêmes logiques qu'une route communale. Ainsi, aucune raison objective ne permet d'affirmer qu'un quelconque élargissement puisse être envisagé, bien au contraire. Pour le surplus, et comme la Préfecture l'a justement mentionné, la création des places de parc du côté Est ne nécessite pas de dérogation, pour autant qu'elles soient simplement limitées par un marquage au sol et qu'aucun muret ou autre construction ne soit nécessaire à leur réalisation (cf. arrêt TF 1C_210/2011 du 29 novembre 2011 consid. 5; TC 602 2010 71 et 73 du 21 mars 2011 consid. 3c). Sans pertinence, ce grief doit être écarté.</w:t>
      </w:r>
    </w:p>
    <w:p>
      <w:r>
        <w:rPr>
          <w:b/>
        </w:rPr>
        <w:t>E. 3.6</w:t>
      </w:r>
    </w:p>
    <w:p>
      <w:r>
        <w:t>Le recourant se plaint également d'une violation de son droit d'être entendu dès lors que la dérogation a été accordée sans que les intimés ne la requièrent expressément par le biais de la demande de permis de construire. Elle aurait été octroyée par la Commune sur invitation de l'autorité intimée par courrier du 14 juillet 2021. Ainsi, le recourant n'aurait pas été consultés à ce sujet et, partant, la procédure en matière de dérogation aurait été viciée. 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références citées).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w:t>
      </w:r>
    </w:p>
    <w:p>
      <w:r>
        <w:t>Tribunal cantonal TC Page 8 de 9 En l'espèce, les éventuelles irrégularités quant au respect des aspects formels soulevés par le recourant ne suffisent toutefois pas encore à justifier l'annulation du permis de construire en vue d'une nouvelle mise à l'enquête. Les dispositions,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TF 1C_533/2012 du 12 septembre 2013; 1C_112/2007 du 29 août 2007 consid. 8 et l'arrêt cité publié in RDAF 1978 p. 53 consid. 2), ce qui n'est manifestement pas le cas en l'espèce. Par conséquent, une éventuelle informalité en la matière a été réparée devant le Tribunal cantonal où le recourant a pu expliquer en détail son point de vue sur ces questions.</w:t>
      </w:r>
    </w:p>
    <w:p>
      <w:r>
        <w:rPr>
          <w:b/>
        </w:rPr>
        <w:t>E. 4.1</w:t>
      </w:r>
    </w:p>
    <w:p>
      <w:r>
        <w:t>Au vu de ce qui précède, le recours (602 2021 183), mal fondé, doit être rejeté. L'affaire étant jugée au fond, la requête d'octroi de l'effet suspensif (602 2021 184) devient sans objet.</w:t>
      </w:r>
    </w:p>
    <w:p>
      <w:r>
        <w:rPr>
          <w:b/>
        </w:rPr>
        <w:t>E. 4.2</w:t>
      </w:r>
    </w:p>
    <w:p>
      <w:r>
        <w:t>Il appartient au recourant, qui succombe de supporter les frais de procédure conformément à l’art. 131 CPJA. Ces derniers sont fixés à CHF 2'000.-; ce montant est prélevé sur l'avance de frais versée, dont le solde de CHF 500.- est restitué. Pour le même motif, il n’a pas droit à une indemnité de partie (art. 137 CPJA). Obtenant gain de cause et ayant fait appel aux services successifs de deux avocats pour défendre leurs intérêts, les intimés ont droit à une indemnité de partie. Compte tenu des listes de frais produites par leurs mandataires, il y a lieu d'allouer une indemnité de CHF 1'843.60, composée d'un montant de CHF 984.10 (y compris CHF 122.45 de TVA) pour les services de Me Pierre Mauron et d'un montant de CHF 859.50 (y compris CHF 61.45 de TVA) pour ceux de Me Christophe Tornare. (dispositif en page suivante)</w:t>
      </w:r>
    </w:p>
    <w:p>
      <w:r>
        <w:t>Tribunal cantonal TC Page 9 de 9 la Cour arrête : I. Le recours (602 2021 183) est rejeté. Partant, les décisions attaquées sont confirmées. II. La requête tendant à l'octroi de l'effet suspensif (602 2021 184), devenue sans objet, est rayée du rôle. III. Les frais de procédure, par CHF 2'000.-, sont mis à la charge du recourant. Ce montant est prélevé sur l'avance de frais versée, dont le solde de CHF 500.- est restitué. IV. Un montant de CHF 1'843.60, TVA comprise, à verser aux intimées à titre d'indemnité de partie, est mis à la charge du recourant.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24 janvier 2023/cpf/jbh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