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16 vom 17. Mai 2021</w:t>
      </w:r>
    </w:p>
    <w:p>
      <w:r>
        <w:t>FR Kantonsgericht, 2021-05-17, FR</w:t>
      </w:r>
    </w:p>
    <w:p>
      <w:r>
        <w:rPr>
          <w:b/>
        </w:rPr>
        <w:t xml:space="preserve">Quelle: </w:t>
      </w:r>
      <w:r>
        <w:t>https://mcp.opencaselaw.ch/entscheid/fr_gerichte_602_2021_16</w:t>
      </w:r>
    </w:p>
    <w:p>
      <w:r>
        <w:t>FR: FR_GERICHTE 602 2021 16 du 17 mai 2021</w:t>
      </w:r>
    </w:p>
    <w:p>
      <w:r>
        <w:t>IT: FR_GERICHTE 602 2021 16 del 17 maggio 2021</w:t>
      </w:r>
    </w:p>
    <w:p>
      <w:pPr>
        <w:pStyle w:val="Heading2"/>
      </w:pPr>
      <w:r>
        <w:t>Regeste</w:t>
      </w:r>
    </w:p>
    <w:p>
      <w:r>
        <w:t>Arrêt de la IIe Cour administrative du Tribunal cantonal | Raumplanung und Bauwesen</w:t>
      </w:r>
    </w:p>
    <w:p>
      <w:pPr>
        <w:pStyle w:val="Heading2"/>
      </w:pPr>
      <w:r>
        <w:t>Erwägungen</w:t>
      </w:r>
    </w:p>
    <w:p>
      <w:r>
        <w:rPr>
          <w:b/>
        </w:rPr>
        <w:t>E. 22</w:t>
      </w:r>
    </w:p>
    <w:p>
      <w:r>
        <w:t>LAT. Expliquant que le chemin d'accès a une largeur de 5 m sur la première partie du tronçon, puis de 3.52 m sur la seconde partie, ils estiment que cette largeur ne permet pas de croiser deux véhicules. Soulignant que le tracé du chemin R.________ n'est pas rectiligne mais tout en contours, ils sont d'avis que la voie d'accès ne permet pas d'accueillir le trafic de 8 à 10 nouveaux véhicules, sans créer de dangers excessifs pour les autres habitants du quartier. 6.1. L'art. 22 al. 1 LAT prescrit qu'aucune construction ou installation ne peut être créée ou transformée sans autorisation de l'autorité compétente. L'art. 22 al. 2 let. b LAT pose la condition que le terrain doit être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1C_157/2008 du 10 juillet 2008 consid. 2.1 et les réf. cit.). En outre, son utilisation ne doit pas provoquer de nuisances incompatibles avec les exigences de la loi fédérale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w:t>
      </w:r>
    </w:p>
    <w:p>
      <w:r>
        <w:t>Tribunal cantonal TC Page 11 de 13 JOMINI, in Commentaire de la loi fédérale sur l'aménagement du territoire, 2010, art. 19 LAT n. 20).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art. 19 LAT n° 23; ZEN-RUFFINEN/GUY-ECABERT, p. 326 s.). 6.2. En l'occurrence, les recourants se limitent à invoquer une augmentation de trafic et des problèmes liés à la sécurité routière. Ils n'expliquent cependant pas en quoi les normes applicables en la matière ne seraient selon eux pas respectées. Or, il convient de relever que le SMo – service spécialisé en la matière –, qui avait précisément pour mission d'examiner le cas sous l'angle de l'aspect sécuritaire et au vu de la situation concrète, a rendu un préavis favorable le 18 septembre 2020. Il n'a formulé aucune remarque ni concernant la largeur du chemin d'accès existant ni quant à l'augmentation de trafic induite par le projet. Si, malgré le constat du SMo, les recourants craignent que la fluidité du trafic soit gênée, il convient de renvoyer à la jurisprudence relative à la condition d'un accès routier adapté à l'utilisation exposée ci-dessus, qui précise que la circulation peut devenir moins aisée et qu'elle peut exiger des usagers une prudence accrue. Par ailleurs, il peut encore être relevé que le tronçon dont la largeur est de 3.52 m est d'environ 75 m et ne dessert que les habitations des secteurs G, H et I, ce dernier étant au bout de l'impasse. Enfin, la crainte formulée par les recourants relatives à l'évacuation des volumes de terrassements par ce chemin d'accès relève de la problématique du trafic lié au chantier. Or, le Tribunal fédéral a déjà eu l'occasion de souligner que cette problématique relevait directement de l'application des règles de l'art en matière de construction et n'avait aucune incidence sur la délivrance du permis de construire, un éventuel litige sur ces questions relevant dès lors du droit privé (cf. arrêt TF 1C_416/2012 du 6 décembre 2012 consid. 5). Ce grief doit partant être rejeté.</w:t>
      </w:r>
    </w:p>
    <w:p>
      <w:r>
        <w:t>Tribunal cantonal TC Page 12 de 13 7. Les recourants ont enfin requis la tenue d'une inspection des lieux, en particulier en lien avec les griefs de violation de la clause d'esthétique et d'insuffisance de l'équipement au niveau de la voie d'accès.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est inutile dans le cas d'espèce, dès lors que les pièces versées au dossier – en particulier les plans – permettent parfaitement de comprendre les travaux envisagés et la situation des immeubles concernés. 8. Il résulte de ce qui précède que, entièrement mal fondé, le recours (602 2021 16) doit être rejeté. Partant, les décisions rendues par le préfet le 21 décembre 2020 sont confirmées. L'affaire étant jugée au fond, la requête tendant à l'octroi de l'effet suspensif du recours (602 2021 17) est devenue sans objet. 9. 9.1. Vu l'issue du litige, les frais de procédure – fixés à CHF 2'500.- selon les art. 1 et 2 du tarif fribourgeois du 17 décembre 1991 des frais de procédure et des indemnités en matière de juridiction administrative (RSF 150.12) – sont mis solidairement à la charge des recourants qui succombent et compensés avec l'avance de frais versée. 9.2. Obtenant gain de cause et ayant fait appel aux services d'un avocat pour défendre ses intérêts, l'intimée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La liste de frais produite par le mandataire de l'intimée ne correspondant pas au tarif applicable (notamment en ce qui concerne le tarif horaire et le montant des photocopies), l'indemnité de partie est arrêtée à CHF 2'154.- (honoraires et débours: CHF 2'000.-; TVA 7.7%: CHF 154.-), conformément à l'art. 11 al. 1, dernière phrase, du tarif. Elle est solidairement mise à la charge des recourants, qui s'en acquitteront directement auprès du mandataire de l'intimée (art. 137, 140 et 141 CPJA).</w:t>
      </w:r>
    </w:p>
    <w:p>
      <w:r>
        <w:t>Tribunal cantonal TC Page 13 de 13 la Cour arrête: I. Le recours (602 2021 16) est rejeté. II. La requête tendant à l'octroi de l'effet suspensif (602 2021 17), devenue sans objet, est rayée du rôle. III. Les frais de procédure, fixés à CHF 2'500.-, sont mis solidairement à la charge des recourants. Ils sont compensés avec l'avance de frais versée. IV. Un montant de CHF 2'154.- (dont CHF 154.- au titre de la TVA), à verser à Me Olivier Ferraz à titre d'indemnité de partie, est mis solidairement à la charge des recourants.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17 mai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