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67 vom 11. Dezember 2020</w:t>
      </w:r>
    </w:p>
    <w:p>
      <w:r>
        <w:t>FR Kantonsgericht, 2020-12-11, DE</w:t>
      </w:r>
    </w:p>
    <w:p>
      <w:r>
        <w:rPr>
          <w:b/>
        </w:rPr>
        <w:t xml:space="preserve">Quelle: </w:t>
      </w:r>
      <w:r>
        <w:t>https://mcp.opencaselaw.ch/entscheid/fr_gerichte_602_2020_67</w:t>
      </w:r>
    </w:p>
    <w:p>
      <w:r>
        <w:t>FR: FR_GERICHTE 602 2020 67 du 11 décembre 2020</w:t>
      </w:r>
    </w:p>
    <w:p>
      <w:r>
        <w:t>IT: FR_GERICHTE 602 2020 67 del 11 dicembre 2020</w:t>
      </w:r>
    </w:p>
    <w:p>
      <w:pPr>
        <w:pStyle w:val="Heading2"/>
      </w:pPr>
      <w:r>
        <w:t>Regeste</w:t>
      </w:r>
    </w:p>
    <w:p>
      <w:r>
        <w:t>Urteil des II. Verwaltungsgerichtshofes des Kantonsgerichts | Schutz gegen Feuer- und Elementarschäden</w:t>
      </w:r>
    </w:p>
    <w:p>
      <w:pPr>
        <w:pStyle w:val="Heading2"/>
      </w:pPr>
      <w:r>
        <w:t>Erwägungen</w:t>
      </w:r>
    </w:p>
    <w:p>
      <w:r>
        <w:rPr>
          <w:b/>
        </w:rPr>
        <w:t>E. 1</w:t>
      </w:r>
    </w:p>
    <w:p>
      <w:r>
        <w:t>Gegen Einspracheentscheide des Verwaltungsrats der KGV ist die Beschwerde an das Kantons- gericht zulässig (Art. 127 KGV in Verbindung mit Art. 114 Abs. 1 lit. b des kantonalen Gesetzes vom 23. Mai 1991 über die Verwaltungsrechtspflege [VRG; SGF 150.1]). Der Beschwerdeführer ist durch den angefochtenen Einspracheentscheid berührt und hat ein schutzwürdiges Interesse an dessen Aufhebung oder Änderung (Art. 76 VRG). Der Kostenvorschuss wurde rechtzeitig bezahlt (Art. 128 VRG) und die Eingabe erfolgte frist- und formgerecht. Auf die Beschwerde ist einzutreten.</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(Art. 77 VRG). Die Rüge der Unangemessen- heit ist vorliegend ausgeschlossen (Art. 78 Abs. 2 VRG).</w:t>
      </w:r>
    </w:p>
    <w:p>
      <w:r>
        <w:rPr>
          <w:b/>
        </w:rPr>
        <w:t>E. 3</w:t>
      </w:r>
    </w:p>
    <w:p>
      <w:r>
        <w:t>Streitig ist vorliegend die Höhe der Entschädigung, welche die Vorinstanz dem Beschwerdeführer infolge des Schadenereignisses vom 15. Juli 2016 zu leisten hat. Unbestritten ist zwischen den Parteien, dass für das Schadenereignis eine Versicherungsdeckung besteht. Nach Art. 132 Abs. 1 KGVG werden die Verpflichtungen der KGV und der Eigentümerinnen und Eigentümer gemäss Abschnitt sechs des Gesetzes nach dem Recht geregelt, unter dem sie entstanden sind. Im Zeitpunkt des Schadenfalls vom 15. Juli 2016 war das kantonale Gesetz vom</w:t>
      </w:r>
    </w:p>
    <w:p>
      <w:r>
        <w:rPr>
          <w:b/>
        </w:rPr>
        <w:t>E. 6</w:t>
      </w:r>
    </w:p>
    <w:p>
      <w:r>
        <w:t>Der Beschwerdeführer stellt vor Kantonsgericht diverse Beweisanträge, nämlich Zeugeneinvernah- men sowie Gerichtsgutachten zur Feststellung des Werts und des Fertigstellungsgrads der bis</w:t>
      </w:r>
    </w:p>
    <w:p>
      <w:r>
        <w:t>Kantonsgericht KG Seite 10 von 11 zum Brandfall ausgeführten Umbauarbeiten, des Ausmasses und des Grads der durch den Brand verursachten Schäden sowie der Kosten der Wiederaufbauarbeiten (vgl. Ziff. III.8, IV.17, IV.18, V.5, V.8, VI.7, VII.5, VIII.5 und VIII.7 der Beschwerdeschrift). Gleichzeitig wirft er der Vorinstanz vor, durch die Nichteinvernahme der anerbotenen Zeugen Art. 59 Abs. 3 GVG und Art. 60 Abs. 2 AVGVG sowie generell seinen Anspruch auf rechtliches Gehör verletzt zu haben.</w:t>
      </w:r>
    </w:p>
    <w:p>
      <w:r>
        <w:rPr>
          <w:b/>
        </w:rPr>
        <w:t>E. 6.1</w:t>
      </w:r>
    </w:p>
    <w:p>
      <w:r>
        <w:t>Zum Anspruch auf rechtliches Gehör nach Art. 29 Abs. 2 BV gehört das Recht des Betroffe- nen, sich vor Erlass eines in seine Rechtsstellung eingreifenden Entscheides zur Sache zu äussern sowie das Recht auf Abnahme der rechtzeitig und formrichtig angebotenen rechtserhebli- chen Beweismittel. Indes steht die Verfassungsgarantie einer vorweggenommenen Beweiswürdi- gung nicht entgegen. Das Gericht kann auf die Abnahme von Beweisen verzichten, wenn es aufgrund bereits abgenommener Beweise seine Überzeugung gebildet hat und ohne Willkür annehmen kann, seine Überzeugung werde durch weitere Beweiserhebungen nicht geändert (BGE 134 I 140 E. 5.3; Urteil BGer 2C_191/2018 vom 10. September 2018 E. 2.1). Von der Abnahme eines beantragten Beweismittels kann zudem abgesehen werden, wenn zum Voraus gewiss ist, dass der angebotene Beweis keine wesentlichen Erkenntnisse zu vermitteln vermag (BVGE 2010/10 E. 7.1).</w:t>
      </w:r>
    </w:p>
    <w:p>
      <w:r>
        <w:rPr>
          <w:b/>
        </w:rPr>
        <w:t>E. 6.2</w:t>
      </w:r>
    </w:p>
    <w:p>
      <w:r>
        <w:t>Vorliegend hat die Vorinstanz die Zeugeneinvernahmen mit der Begründung abgelehnt, dass von deren Befragung keine zusätzlichen entscheidrelevanten Erkenntnisse zu erwarten seien. Insbesondere würden Zeugenaussagen eine Beurteilung der Notwendigkeit von Wiederauf- bauarbeiten nicht ermöglichen. Zudem hätten die Zeugen ein erhebliches Interesse daran, die Notwendigkeit der geleisteten Arbeiten zu bestätigen, da es sich um Arbeiten handle, die sie selbst geleistet und fakturiert hätten. Die Einschätzung der Vorinstanz betreffend fehlende Tauglichkeit der Zeugenaussage zur Beurtei- lung der Notwendigkeit (bzw. des Fertigstellungs- und Beschädigungsgrads) überzeugt, sodass sie in antizipierter Beweiswürdigung von den beantragten Zeugeneinvernahmen absehen durfte. Die diesbezügliche Rüge des Beschwerdeführers verfängt nicht. Zusätzlich zu den Argumenten der Vorinstanz ist auch darauf hinzuweisen, dass im Zeitpunkt der Einsprache (30. August 2019) – mit der die Zeugeneinvernahmen erstmalig beantragt wurden – der Brand schon über drei Jahre her war; präzise Zeugenaussagen zum Fertigstellungsgrad der Umbauarbeiten bzw. zum Ausmass der Beschädigungen sind bzw. waren nach so langer Zeit kaum mehr zu erwarten. Damit kann offen- bleiben, ob die Vorinstanz die Zeugeneinvernahmen auch wegen angeblicher Eigeninteressen verweigern durfte. Aus den gleichen Gründen sind die beantragten Zeugeneinvernahmen auch im Beschwerdever- fahren vor Kantonsgericht abzuweisen.</w:t>
      </w:r>
    </w:p>
    <w:p>
      <w:r>
        <w:rPr>
          <w:b/>
        </w:rPr>
        <w:t>E. 6.3</w:t>
      </w:r>
    </w:p>
    <w:p>
      <w:r>
        <w:t>Auch von der Einholung eines Gerichtsgutachtens kann das Kantonsgericht in antizipierter Beweiswürdigung absehen: Von einem Gutachten zu den vom Beschwerdeführer beantragten Sachfragen sind keine neuen Erkenntnisse zu erwarten, da die Brandschäden im Zeitpunkt des vorliegenden Beschwerdeverfahrens nach den unangefochten gebliebenen Feststellungen der Vorinstanz weitestgehend behoben wurden. Auch ein vom Gericht mandatierter Experte wäre daher nicht in der Lage, die Notwendigkeit der verrechneten Arbeiten sowie den Fortschritt der Umbauarbeiten im Zeitpunkt des Brandes unter Begutachtung des beschädigten Objekts zu prüfen. Anders als die Vorinstanz bzw. deren Schätzer – welche immerhin Ortsbesichtigungen kurz nach dem Brand durchführen konnten – könnte er sich noch nicht einmal auf eine Ersteinschät- zung vor Ort stützen. Es ist daher nicht davon auszugehen, dass ein solches Gerichtsgutachten Zweifel an den vorinstanzlichen Feststellungen zu wecken vermöchte.</w:t>
      </w:r>
    </w:p>
    <w:p>
      <w:r>
        <w:t>Kantonsgericht KG Seite 11 von 11</w:t>
      </w:r>
    </w:p>
    <w:p>
      <w:r>
        <w:rPr>
          <w:b/>
        </w:rPr>
        <w:t>E. 7</w:t>
      </w:r>
    </w:p>
    <w:p>
      <w:r>
        <w:t>Die Gerichtskosten, welche auf CHF 4'000.- festgelegt und mit dem geleisteten Kostenvorschuss verrechnet werden, sind dem Verfahrensausgang entsprechend dem Beschwerdeführer aufzuerle- gen (Art. 131 Abs. 1 VRG; Art. 1 und 2 des kantonalen Tarifs vom 17. Dezember 1991 der Verfah- renskosten und Entschädigungen in der Verwaltungsjustiz [TarifVJ; SGF 150.12]). Ausgangsgemäss wird dem unterliegenden Beschwerdeführer keine Parteientschädigung gewährt (Art. 137 VRG). Der Hof erkennt: I. Die Beschwerde wird abgewiesen. II. Die Gerichtskosten von CHF 4'000.- werden dem Beschwerdeführer auferlegt und mit dem geleisteten Kostenvorschuss verrechnet. III. Es wird keine Parteientschädigung 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Dezember 2020/mpo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