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59 vom 3. Juni 2020</w:t>
      </w:r>
    </w:p>
    <w:p>
      <w:r>
        <w:t>FR Kantonsgericht, 2020-06-03, FR</w:t>
      </w:r>
    </w:p>
    <w:p>
      <w:r>
        <w:rPr>
          <w:b/>
        </w:rPr>
        <w:t xml:space="preserve">Quelle: </w:t>
      </w:r>
      <w:r>
        <w:t>https://mcp.opencaselaw.ch/entscheid/fr_gerichte_602_2020_59</w:t>
      </w:r>
    </w:p>
    <w:p>
      <w:r>
        <w:t>FR: FR_GERICHTE 602 2020 59 du 3 juin 2020</w:t>
      </w:r>
    </w:p>
    <w:p>
      <w:r>
        <w:t>IT: FR_GERICHTE 602 2020 59 del 3 giugno 2020</w:t>
      </w:r>
    </w:p>
    <w:p>
      <w:pPr>
        <w:pStyle w:val="Heading2"/>
      </w:pPr>
      <w:r>
        <w:t>Regeste</w:t>
      </w:r>
    </w:p>
    <w:p>
      <w:r>
        <w:t>Arrêt de la IIe Cour administrative du Tribunal cantonal | Raumplanung und Bauwesen</w:t>
      </w:r>
    </w:p>
    <w:p>
      <w:pPr>
        <w:pStyle w:val="Heading2"/>
      </w:pPr>
      <w:r>
        <w:t>Erwägungen</w:t>
      </w:r>
    </w:p>
    <w:p>
      <w:r>
        <w:rPr>
          <w:b/>
        </w:rPr>
        <w:t>E. 2</w:t>
      </w:r>
    </w:p>
    <w:p>
      <w:r>
        <w:t>août 2018 et 3 août 2018, les recourants doivent être considérés comme ayant obtenu gain de cause; qu'il appartient ainsi à l'intimé – en sa qualité de constructeur – de supporter, par CHF 1'125.-, les 3/4 des frais de procédure fixés à CHF 1'500.-; que l'Etat de Fribourg est exonéré de sa part des frais (art. 133 CPJA); que l'avance de frais versée par les recourants leur est restituée; que, pour la même raison, il n'est pas alloué d'indemnité de partie à l'intimé; qu'en revanche, les recourants, qui ont fait appel aux services d'une avocate pour défendre leurs intérêts, ont droit à une indemnité de partie (art. 137 CPJA), laquelle sera, dans les mêmes proportions, mise à la charge de l'intimé et de l'Etat de Fribourg (art. 137, 140 et 141 CPJA); que, compte tenu du fait que le Tribunal cantonal a déjà fixé les dépens en tenant compte des écritures de la mandataire des recourants, il se justifie de s'y référer et d'arrêter l'indemnité de partie à CHF 2'000.- (TVA comprise) en application de l'art. 11 al. 1, dernière phrase, du tarif</w:t>
      </w:r>
    </w:p>
    <w:p>
      <w:r>
        <w:t>Tribunal cantonal TC Page 4 de 4 fribourgeois du 17 décembre 1991 des frais de procédure et des indemnités en matière de juridiction administrative (RSF 150.12); que cette indemnité est mise pour 3/4 à la charge de l'intimé et pour le 1/4 restant à la charge de de l'Etat de Fribourg; la Cour arrête : I. Les décisions rendues le 24 mai 2018 par la Direction de l'aménagement, de l'environnement et des constructions, le 2 août 2018 par la Lieutenante de Préfet du district de la Sarine et le 3 août 2018 par le Préfet du district de la Sarine sont annulées. Le dossier est renvoyé à la Direction de l'aménagement, de l'environnement et des constructions pour instruction complémentaire au sens des considérants. II. Les frais de la procédure 602 2018 96, fixés à CHF 1'500.-, sont mis pour 3/4, soit CHF 1'125.-, à la charge de C.________. L'avance de frais de CHF 2'500.- versée par A.________ et B.________ leur est restituée. III. Un montant de CHF 2'000.- (dont CHF 143.- au titre de TVA), à verser à Me Laurence Noble à titre d'indemnité de partie pour la procédure 602 2018 96, est mis à la charge de C.________ à raison de CHF 1'500.- et à celle de l'Etat de Fribourg à raison de CHF 500.-. V. Notification. Le présent arrêt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juin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