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38 vom 16. Juli 2020</w:t>
      </w:r>
    </w:p>
    <w:p>
      <w:r>
        <w:t>FR Kantonsgericht, 2020-07-16, FR</w:t>
      </w:r>
    </w:p>
    <w:p>
      <w:r>
        <w:rPr>
          <w:b/>
        </w:rPr>
        <w:t xml:space="preserve">Quelle: </w:t>
      </w:r>
      <w:r>
        <w:t>https://mcp.opencaselaw.ch/entscheid/fr_gerichte_602_2020_38</w:t>
      </w:r>
    </w:p>
    <w:p>
      <w:r>
        <w:t>FR: FR_GERICHTE 602 2020 38 du 16 juillet 2020</w:t>
      </w:r>
    </w:p>
    <w:p>
      <w:r>
        <w:t>IT: FR_GERICHTE 602 2020 38 del 16 luglio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 et opposant au projet de construction, le recourant a qualité pour recourir, dès lors qu'il est atteint par les décisions attaquées et a un intérêt digne de protection à ce qu'elles soient annulées ou modifiées (art. 76 let. a CPJA). Le Tribunal cantonal peut donc – sous réserve de ce qui suit – entrer en matière sur les mérites du recours.</w:t>
      </w:r>
    </w:p>
    <w:p>
      <w:r>
        <w:t>Tribunal cantonal TC Page 5 de 11 La Cour de céans constate que les permis de construire des 8 février et 22 octobre 2018 sont entrés en force. L'objet de la présente procédure peut ainsi uniquement consister en l'examen du permis du 11 février 2020 relatif aux modifications mises à l'enquête publique. Il en résulte que tout grief relatif à des objets intégrés dans les permis de construire précédents est irrecevable. Partant, toute éventuelle offre de preuve en lien avec de tels griefs ne revêt aucune pertinence.</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Le recourant invoque tout d'abord une violation de son droit d'être entendu, en ce sens que le préavis complémentaire de la Commune de D.________ du 14 janvier 2020, la prise de position de l'intimée du 21 janvier 2020, le plan du calcul des indices de construction du 31 janvier 2020 (transmis avec la décision attaquée), le préavis de synthèse complémentaire favorable du SeCA du 3 février 2020, ainsi que le préavis complémentaire favorable du SFN du 15 janvier 2020 ne lui ont pas été transmis.</w:t>
      </w:r>
    </w:p>
    <w:p>
      <w:r>
        <w:rPr>
          <w:b/>
        </w:rPr>
        <w:t>E. 2.1</w:t>
      </w:r>
    </w:p>
    <w:p>
      <w:r>
        <w:t>Le droit d'être entendu – garanti par l'art. 29 al. 2 de la Constitution fédérale (Cst; RS 101), par l'art. 6 § 1 de la Convention européenne des droits de l'homme (CEDH; RS 0.101) et par l'art. 57 CPJA – comprend, de manière générale, le droit pour l'administré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Toute prise de position ou pièce nouvelle versée au dossier doit dès lors être communiquée aux parties pour leur permettre de décider si elles veulent ou non faire usage de leur faculté de se déterminer (ATF 139 I 189 consid. 3.2).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TF 1C_265/2009 du 7 octobre 2009 consid. 2.3).</w:t>
      </w:r>
    </w:p>
    <w:p>
      <w:r>
        <w:rPr>
          <w:b/>
        </w:rPr>
        <w:t>E. 2.2</w:t>
      </w:r>
    </w:p>
    <w:p>
      <w:r>
        <w:t>Il est d'emblée relevé que – sauf exceptions en l'occurrence non réalisées ni invoquées – le voisin n'a pas, en procédure de dénonciation, un droit à participer à la procédure. Aussi, les documents relatifs à cette dernière n'avaient pas à être communiqués au recourant en sa qualité de dénonciateur (cf. arrêt TC FR 602 2019 141/602 2020 14 du 27 mai 2020 consid. 5 avec renvoi à l'arrêt TC FR 602 2014 12 du 6 mars 2015). Il en résulte que seule la période qui suit la mise à l'enquête publique est déterminante ici en ce qui concerne une éventuelle violation du droit d'être entendu.</w:t>
      </w:r>
    </w:p>
    <w:p>
      <w:r>
        <w:t>Tribunal cantonal TC Page 6 de 11 Selon l'art. 98 al. 1 ReLATeC, le permis avec le dossier (plans, préavis, pièces annexes) est communiqué au requérant ou à la requérante, à l'auteur-e des plans et, dans la procédure ordinaire, à la commune. Partant, les préavis n'ont pas à être directement transmis aux opposants, lesquels peuvent toutefois en prendre connaissance dans le cadre du droit à la consultation du dossier (cf. art. 63 CPJA; voir également art. 60 let. a CPJA; cf. arrêt TC FR 602 2016 93 du</w:t>
      </w:r>
    </w:p>
    <w:p>
      <w:r>
        <w:rPr>
          <w:b/>
        </w:rPr>
        <w:t>E. 7</w:t>
      </w:r>
    </w:p>
    <w:p>
      <w:r>
        <w:t>novembre 2016). Il est en outre douteux que la position juridique d'un opposant en matière de permis de construire soit identique en tous points à celle d'une partie ordinaire en procédure administrative. Compte tenu des exigences élevées de célérité posées par les art. 90 et 96 ReLATeC, on peut se demander si, dans la procédure de permis de construire, l'intervention des opposants ne se limite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en procédure non contentieuse de permis de construire, dont l'opposition fait partie (cf. arrêt TC FR 602 2019 36 du 15 mai 2020). Cela dit, il n'y a de surcroît lieu ni de trancher la question de savoir si le simple renvoi à l'application FRIAC suffit pour assurer le respect du droit d'être entendu du recourant ni de clarifier de quelle manière les communes et offices doivent rendre accessibles aux opposants les documents qui y sont contenus, dès lors qu'en l'occurrence, il ne fait aucun doute que toute éventuelle informalité commise par l'autorité intimée a été guérie devant l'instance de céans. En effet, en matière de permis de construire et dans le cas d'espèce, celle-ci dispose du même pouvoir d'examen que le préfet. Dans la mesure où, depuis la notification des décisions attaquées, le recourant – dûment informé de leur existence – a reçu un exemplaire du dossier papier (cf. lettre de la préfecture du 20 février 2020) et où il a partant eu accès à toutes les pièces du dossier et a disposé de la possibilité de se déterminer à leur sujet, les éventuelles atteintes à ses droits formels ont manifestement été réparées. Le reproche fait à l'autorité d'avoir décidé sans connaissance des dossiers des permis de construire précédents est manifestement sans pertinence, dès lors que, pour pouvoir – comme en l'espèce – demander une mise à l'enquête dans le cadre d'une procédure de rétablissement de l'état de droit, celle-ci a dû comparer les plans avec la construction effectivement réalisée (cf. en outre, pour ce point, consid. 7 ci-dessous). De plus, le recourant ayant fait opposition au projet initial, il a eu connaissance des plans y relatifs. Au regard de ce qui précède, le litige ne peut dès lors plus porter sur le respect du droit d'être entendu, mais sur le point de savoir si le permis de construire a été octroyé en accord avec les dispositions topiques du droit public de la construction. Il résulte de ce qui précède que le grief tiré d'une violation du droit d'être entendu doit être écarté (en ce qui concerne le grief relatif au refus d'offres de preuves, cf. consid. 5.2 ci-dessous). 3.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w:t>
      </w:r>
    </w:p>
    <w:p>
      <w:r>
        <w:t>Tribunal cantonal TC Page 7 de 11 droit public (ATF 119 Ib 222 consid 3a; arrêt TF 1A.202/2006 du 10 septembre 2007 consid. 4). C'est en l'occurrence ce qu'a fait le lieutenant de préfet dans les différentes procédures relatives aux constructions sur la parcelle ccc RF et qui, en accordant le permis sollicité, a examiné qu'aucun obstacle de droit public ne s'opposait aux constructions envisagées. 4. Dans un premier grief matériel, le recourant invoque une violation des règles relatives à la protection contre le bruit. Le lieutenant de préfet ne pouvait selon lui pas admettre la licéité du jacuzzi sans concrètement mesurer les émissions de bruit engendrées par cette installation. 4.1. En l'occurrence, le jacuzzi, respectivement son moteur, est une installation fixe nouvelle au sens des art. 7 al. 7 de la loi du 7 octobre 1983 sur la protection de l'environnement (LPE; RS 814.01) et art. 2 al. 1 OPB, dont l'exploitation produit un bruit extérieur. A ce titre, il ne peut être construit, en vertu des art. 25 al. 1 LPE et 7 al. 1 let. b OPB, que si les immissions sonores (cf. art. 7 al. 2 i.f. LPE; bruit au lieu de son effet) qu'il engendre ne dépassent pas les valeurs de planification fixées à l'annexe 6 de l'OPB (cf. ch. 1 al. 1 let. e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w:t>
      </w:r>
    </w:p>
    <w:p>
      <w:r>
        <w:rPr>
          <w:b/>
        </w:rPr>
        <w:t>E. 12</w:t>
      </w:r>
    </w:p>
    <w:p>
      <w:r>
        <w:t>septembre 2007). 4.2. Se référant au préavis favorable du 16 octobre 2019 du SEn, spécialiste pour les questions liées à la protection contre le bruit, le lieutenant de préfet a rejeté ce grief. En renvoyant aux directives émises par ses soins précisant les conditions à respecter pour les piscines privées, les spas et les jacuzzis, le SEn a examiné le projet à la lumière de la situation des plans et de son expérience en la matière. Il a constaté que le projet était conforme aux normes en vigueur et qu'il n'était pas à même d'entraîner une gêne ou une nuisance sonore chez les voisins les plus</w:t>
      </w:r>
    </w:p>
    <w:p>
      <w:r>
        <w:t>Tribunal cantonal TC Page 8 de 11 proches. L'autorité intimée a considéré que le jacuzzi était conforme sous l'angle de la protection contre le bruit. Cette appréciation peut être entièrement suivie. On ajoute que, dans son arrêt 602 2016 49 du 6 juillet 2016, le Tribunal cantonal a pris connaissance du fait que le SEn examine des douzaines d'installations de ce type par année et que celles-ci ne sont d'une manière générale pas problématiques en ce qui concerne les émissions de bruit. Il n'est ainsi aucunement critiquable que le Service repose son préavis sur son expérience en la matière, contrairement à l'avis du recourant qui y voit une constatation insuffisante des faits. Cela vaut d'autant plus que la présente configuration des lieux (20 mètres jusqu'à la limite de la propriété du recourant et encore une distance plus élevée jusqu'à son habitation) ainsi que l'emplacement du moteur (sous le jacuzzi et sous le toit du couvert à voitures) réduisent encore davantage le risque de quelque émissions de bruit envers la parcelle du recourant. Dans l'affaire 602 2016 49 précitée, le Tribunal cantonal a en revanche également pris acte de la pratique du SEn d'ajouter dans les conditions de son préavis l'obligation de procéder à une mensuration après la mise en fonction. En l'espèce, on constate qu'une telle condition fait défaut, de sorte qu'il y a lieu de l'ajouter et d'en faire une condition faisant partie intégrante du permis de construire. Partant, le grief relatif à l'installation du jacuzzi doit être rejeté. 5. Dans un second grief, le recourant fait valoir une violation de l'art. 58 al. 1 ReLATeC. Il estime que l'agrandissement de la piscine modifie encore davantage la topographie du terrain de manière importante. 5.1. Aux termes de l'art. 58 ReLATeC,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particulières (al. 2). Selon l'art. 17 du règlement du PAD "E.________", le terrain naturel ne sera modifié que de ce qui est strictement nécessaire à l'implantation des bâtiments, aux accès et aux garages. Les talus artificiels, sauf ceux nécessaires aux accès des garages et entrées, ne doivent pas dépasser 1,50 m par rapport au terrain naturel, ils auront une pente maximum de 1 : 2. Lorsque le terrain naturel est modifié, toutes mesures doivent être prises pour assurer la stabilité du terrain. 5.2. En l'occurrence, dans son préavis initial du 20 septembre 2017, le SeCA a constaté que les aménagements extérieurs tels que présentés sur les plans ne pouvaient pas être examinés en raison d'indications manquantes quant aux terrains voisins. Malgré cet avis, les plans ont été approuvés par le préfet le 8 février 2018 et sont donc entrés en force. Dans le cadre du permis ici contesté, les plans datés du 3 décembre 2019 – transmis le 6 décembre 2019 à la préfecture – ont en revanche permis au SeCA de retenir, dans son préavis complémentaire du 3 février 2020, que le terrain aménagé – comparé au projet initial de 2018 – a été adapté pour être désormais en harmonie avec le terrain naturel des parcelles voisines. Force est ainsi de constater que, comparés au projet initial admis le 8 février 2018, les aménagements extérieurs ont été modifiés dans le sens d'une meilleure intégration par rapport au terrain naturel. On peut ainsi se demander</w:t>
      </w:r>
    </w:p>
    <w:p>
      <w:r>
        <w:t>Tribunal cantonal TC Page 9 de 11 si le recourant peut encore contester à ce stade l'amélioration d'une situation qu'il n'avait pas porté devant le Tribunal cantonal à l'époque. De surcroît, dans son préavis du 3 février 2020, le SeCA relève expressément que les modifications de terrain ont été ajustées entre la mouture mise à l'enquête initialement et les plans du 3 décembre 2019. Le lieutenant de préfet s'est fondé sur ce préavis et, en l'occurrence, on doit constater que rien ne permet de se distancier de l'appréciation faite par le SeCA. En effet, sur la base des plans, on constate qu'aucun mur autour de la piscine ne dépasse 1,50 m (cf. plan coupe AA et coupe BB). Concernant le mur du côté parking, celui-ci est nettement plus élevé, toutefois on peut suivre le lieutenant de préfet qui explique que si les modifications de terrains apparaissent certes conséquentes dans la réalité, notamment compte tenu de la configuration particulière du terrain existant qui présente une forte déclivité, elles sont malgré tout conformes à l'art. 17 du règlement du PAD "E.________" qui admet plus largement les fortes déclivités aux abords des accès et des garages. En effet, cette situation peut être confirmée sur la base des plans du 3 décembre 2019; l'agrandissement de la piscine ne crée pas une situation non conforme, dès lors que le mur qui dépasse 1,50 m est en lien avec le parking pour lequel des exceptions sont possibles en application de l'art. 17 du règlement du PAD. Les dimensions – selon le recourant – "extravagantes" de la piscine n'ont du reste pas fondamentalement changé par rapport au projet initial. Rappelons à ce propos encore qu'un constructeur n'est – en ce qui concerne la constructibilité de sa parcelle – pas limité à réaliser ce que le voisin considère comme étant acceptable. Dans la mesure où les plans à disposition contiennent désormais les informations relatives à la topographie des parcelles environnantes, il ne s'avère pas nécessaire de procéder à une inspection des lieux. Le lieutenant de préfet, tout comme le Tribunal cantonal, pouvaient ainsi renoncer à cette mesure d'instruction par une appréciation anticipée des preuves sans violer le droit d'être entendu du recourant. Le Tribunal relève finalement que le reste des modifications relatives à la topographie soumises à son examen dans le cadre du présent recours est en accord avec les dispositions du ReLATeC et du règlement du PAD, dès lors qu'aucun élément désigné comme nouveau sur les plans de situation et d'implantation ne dépasse les limites réglementaires. 6. Le recourant invoque une distance insuffisante par rapport à la haie prévue le long de sa parcelle. Ce grief est manifestement dénué de pertinence pour deux motifs. Premièrement, il est irrecevable car le sort de la haie et des arbres qui ont dû céder au projet de construction a été scellé dans les procédures précédentes. Celles-ci ont conduit à l'octroi des permis des 8 février et 22 octobre 2018. La mise en place d'une haie entre les deux parcelles y était prévue et a été autorisée selon le plan d'implantation du 17 octobre 2017, intégré dans le permis du 8 février 2018. Le recourant ne saurait aucunement remettre en cause le principe de la plantation en limite de la parcelle ggg RF entré en force en arguant que les espèces et variétés à planter devait encore être soumis aux autorités. Le grief est ainsi irrecevable (cf. supra consid. 1.1). Deuxièmement, la disposition sur laquelle le recourant fonde sa critique sert à la protection des haies existantes et non à celle des nouvelles plantations végétales entre deux propriétés.</w:t>
      </w:r>
    </w:p>
    <w:p>
      <w:r>
        <w:t>Tribunal cantonal TC Page 10 de 11 7. Finalement, le recourant se heurte au fait que des ancrages qui se situeraient en partie sur sa propre parcelle auraient été provisoires et partant non répertoriés sur les plans qui ont conduit à l'octroi du permis du 8 février 2018. A ce jour, il constate que, dans le cadre de la procédure litigieuse, de nouveaux plans ont été versés au dossier, comportant le sceau de la préfecture et sur lesquels on retrouve dits ancrages. Il soutient qu'on aurait ainsi autorisé une partie de la construction sans que celle-ci ait jamais fait l'objet d'une procédure de mise à l'enquête. La présente procédure ne portait pas sur des ancrages. Aucun élément qui y ressemblerait n'est signalé sur les plans de situation et d'implantation par la couleur rouge. Or, celle-ci indique les éléments de construction soumis ici à l'examen en vue de leur autorisation. Il en résulte que le sceau de la préfecture relatif à l'approbation des plans du permis du 11 février 2020 ne peut qu'autoriser ce qui est indiqué en rouge (construction), respectivement en jaune (démolition). Partant, le grief est irrecevable pour ce motif. Cependant, il incombera à l'autorité qui octroiera le certificat de conformité de vérifier que l'exécution des travaux est conforme aux plans qui ont fait l'objet de la procédure de permis de construire des 8 février 2018, 22 octobre 2018 et 11 février 2020, tout en soulignant qu'il y aura lieu pour cela de se référer aux plans des permis de construction respectifs. Autrement dit, on ne saurait affirmer la conformité d'un élément de construction faisant l'objet d'un permis précis, en se référant aux documents d'une mise à l'enquête d'un autre objet. Dans ce contexte, le Tribunal constate en effet qu'une citerne et ses ancrages, qui ont fait l'objet d'une discussion lors de l'inspection des lieux du 26 novembre 2019, ne figurent pas en rouge sur les plans du permis de construire délivré le 11 février 2020, malgré le fait qu'ils n'auraient pas fait l'objet des précédents permis. C'est dans le cadre de l'examen de la conformité des travaux réalisés que ces questions pourront être clarifiées; cela concerne également les ancrages qui empiètent sur la propriété du recourant et qui figurent en noir sur le plan de principe Blindage des talus; cas échéant, s'en suivra une procédure selon l'art. 167 LATeC. 8. Mal fondé, le recours (602 2020 38) doit être rejeté pour autant que recevable. Partant, les décisions du lieutenant de préfet du 11 février 2020 sont confirmées. Il y a cependant lieu de compléter le permis de construire avec la condition suivante: "Il sera procédé à une mensuration relative au bruit après la mise en fonction du jacuzzi". L'affaire étant jugée au fond, la requête tendant à l'octroi de l'effet suspensif (602 2020 40) est devenue sans objet. 9. 9.1. Vu l'issue du litige, les frais de procédure – fixés selon les art. 1 et 2 du tarif fribourgeois du</w:t>
      </w:r>
    </w:p>
    <w:p>
      <w:r>
        <w:rPr>
          <w:b/>
        </w:rPr>
        <w:t>E. 17</w:t>
      </w:r>
    </w:p>
    <w:p>
      <w:r>
        <w:t>décembre 1991 des frais de procédure et des indemnités en matière de juridiction administrative (RSF 150.12) – sont mis à la charge du recourant. 9.2. Obtenant gain de cause et ayant fait appel aux services d'un avocat pour défendre ses intérêts, l'intimée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w:t>
      </w:r>
    </w:p>
    <w:p>
      <w:r>
        <w:t>Tribunal cantonal TC Page 11 de 11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produite par le mandataire de l'intimée ne correspondant pas au tarif applicable en ce qui concerne notamment le tarif horaire (cf. art. 9 al. 1 du tarif), l'indemnité de partie est arrêtée à CHF 2'477.10 (honoraires et débours: CHF 2'300.-; TVA 7.7%: CHF 177.10), conformément à l'art. 11 al. 1, dernière phrase, du tarif. Elle est mise à la charge du recourant. la Cour arrête : I. Le recours (602 2020 38) est rejeté dans la mesure où il est recevable. Partant, les décisions du Lieutenant de Préfet du district de la Broye du 11 février 2020 sont confirmées et le permis de construire délivré est complété par la condition supplémentaire suivante: "Il sera procédé à une mensuration relative au bruit après la mise en fonction du jacuzzi". II. La requête tendant à l'octroi de l'effet suspensif (602 2020 40), devenue sans objet, est rayée du rôle. III. Les frais de procédure, fixés à CHF 2'500.-, sont mis à la charge du recourant. Ils sont compensés par l'avance de frais versée. IV. Un montant de CHF 2'477.10 (dont CHF 177.10 au titre de la TVA) à verser à Me Leuba, à titre d'indemnité de partie, est mis à la charge du recourant.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16 juillet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