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158 vom 26. Januar 2021</w:t>
      </w:r>
    </w:p>
    <w:p>
      <w:r>
        <w:t>FR Kantonsgericht, 2021-01-26, FR</w:t>
      </w:r>
    </w:p>
    <w:p>
      <w:r>
        <w:rPr>
          <w:b/>
        </w:rPr>
        <w:t xml:space="preserve">Quelle: </w:t>
      </w:r>
      <w:r>
        <w:t>https://mcp.opencaselaw.ch/entscheid/fr_gerichte_602_2020_158</w:t>
      </w:r>
    </w:p>
    <w:p>
      <w:r>
        <w:t>FR: FR_GERICHTE 602 2020 158 du 26 janvier 2021</w:t>
      </w:r>
    </w:p>
    <w:p>
      <w:r>
        <w:t>IT: FR_GERICHTE 602 2020 158 del 26 gennaio 2021</w:t>
      </w:r>
    </w:p>
    <w:p>
      <w:pPr>
        <w:pStyle w:val="Heading2"/>
      </w:pPr>
      <w:r>
        <w:t>Regeste</w:t>
      </w:r>
    </w:p>
    <w:p>
      <w:r>
        <w:t>Arrêt de la IIe Cour administrative du Tribunal cantonal | Beschaffungswesen</w:t>
      </w:r>
    </w:p>
    <w:p>
      <w:pPr>
        <w:pStyle w:val="Heading2"/>
      </w:pPr>
      <w:r>
        <w:t>Erwägungen</w:t>
      </w:r>
    </w:p>
    <w:p>
      <w:r>
        <w:rPr>
          <w:b/>
        </w:rPr>
        <w:t>E. 2</w:t>
      </w:r>
    </w:p>
    <w:p>
      <w:r>
        <w:t>al. 1 de la loi fribourgeoise du 11 février 1998 sur les marchés publics (LMP; RSF 122.91.1). Le Tribunal cantonal peut entrer en matière sur ses mérites; que, selon l'art. 16 al. 1 de l'accord intercantonal du 25 novembre 1994 sur les marchés publics (AIMP; RSF 122.91.2), le recours devant le Tribunal cantonal peut être formé pour violation du droit, y compris l'excès ou l'abus du pouvoir d'appréciation (let. a) et pour constatation inexacte ou incomplète des faits (let. b). Le Tribunal cantonal ne revoit pas le grief d'inopportunité (art. 78 al. 2 du code fribourgeois du 23 mai 1991 de procédure et de juridiction administrative [CPJA; RSF 150.1] et art. 16 al. 2 AIMP); que, conformément à l'art. 23 al. 1 du règlement cantonal du 28 avril 1998 sur les marchés publics (RSF 122.91.11; RMP), "l'offre doit être faite par écrit, remise sous pli fermé directement ou par poste, et parvenir complète dans le délai imparti au service mentionné dans l'appel d'offres. L'enveloppe doit préciser l'objet de l'offre et le nom du soumissionnaire"; qu'il apparaît ainsi clairement qu'en matière de marché public, le délai pour le dépôt des offres est en principe un délai de réception et non pas un délai d'envoi. Une autre solution ne pourrait entrer en considération que si un appel d'offres particulier l'indiquait expressément. Or, cela n'est pas le cas en l'espèce puisqu'il est spécifié sous le chiffre 2.5 du fascicule 2 de l'appel d'offres que le délai est bien un délai de réception. La publication sur SIMAP a précisé au surplus que le timbre de la poste ne fait pas foi; qu'il n'y a ainsi aucun doute que, pour être prise en considération, l'offre devait parvenir au SITel dans le délai fixé au 11 décembre 2020 à 16h00. Du moment que ce n'est pas le cas de l'offre du recourant, reçue le 14 décembre 2020, celle-ci est irrecevable; qu'il importe peu, dans ces circonstances, que le recourant ait déposé son offre à la Poste avant l'échéance du délai. Comme il a été dit, le moment du dépôt de l'offre n'est pas déterminant. De plus, il faut rappeler que les soumissionnaires ont été spécialement rendus attentifs qu'il leur appartenait de prendre leurs dispositions pour respecter ce délai. Le recourant ne peut donc pas invoquer la faute de tiers, en l'occurrence la Poste, pour éviter une exclusion (cf. dans une affaire similaire, arrêt TC VD MPU.2012.001 du 9 mars 2012 consid. 2b). La Poste est en l’occurrence un auxiliaire du soumissionnaire, qui est seul responsable du respect du délai vis-à-vis de l’adjudicateur. D'ailleurs en postant son envoi la veille du délai en courrier simple A (alors, il faut le rappeler, que les conditions de l'appel d'offres exigeaient un envoi recommandé), le recourant a pris un risque sérieux de réception de son offre hors délai qu'il doit assumer; que, pour le surplus, en droit des marchés publics, le respect du délai de remise des projets revêt le caractère d’une condition essentielle à l’examen de l’offre. L’inobservation de ce délai constitue un grave vice de forme, compte tenu du risque de dérapage si la pratique n’est pas stricte en la matière (ZUFFREY/MAILLARD/MICHEL, Droit des marchés publics, 2002 p. 110). Il n'y a ainsi aucun formalisme excessif dans le fait d'écarter l'offre du recourant reçue hors délai (cf. arrêt TC VD MPU.2012.001 du 9 mars 2012 consid. 3); que, manifestement mal fondé, le recours doit être rejeté;</w:t>
      </w:r>
    </w:p>
    <w:p>
      <w:r>
        <w:t>Tribunal cantonal TC Page 4 de 4 qu'il appartient au recourant qui succombe de supporter les frais de procédure en application de l'art. 131 du code fribourgeois du 23 mai 1991 de procédure et de juridiction administrative (CPJA; RSF 150.1); la Cour arrête : I. Le recours est rejeté. Partant, la décision du 16 décembre 2020 est confirmée. II. Les frais de procédure sont mis par CHF 800.- à la charge du recourant. Ils sont compensés avec l'avance de frais effectuée. III. Notification . Pour autant qu'elle pose une question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janvier 2021/cpf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