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2020 11 vom 12. Oktober 2020</w:t>
      </w:r>
    </w:p>
    <w:p>
      <w:r>
        <w:t>FR Kantonsgericht, 2020-10-12, FR</w:t>
      </w:r>
    </w:p>
    <w:p>
      <w:r>
        <w:rPr>
          <w:b/>
        </w:rPr>
        <w:t xml:space="preserve">Quelle: </w:t>
      </w:r>
      <w:r>
        <w:t>https://mcp.opencaselaw.ch/entscheid/fr_gerichte_602_2020_11</w:t>
      </w:r>
    </w:p>
    <w:p>
      <w:r>
        <w:t>FR: FR_GERICHTE 602 2020 11 du 12 octobre 2020</w:t>
      </w:r>
    </w:p>
    <w:p>
      <w:r>
        <w:t>IT: FR_GERICHTE 602 2020 11 del 12 ottobre 2020</w:t>
      </w:r>
    </w:p>
    <w:p>
      <w:pPr>
        <w:pStyle w:val="Heading2"/>
      </w:pPr>
      <w:r>
        <w:t>Regeste</w:t>
      </w:r>
    </w:p>
    <w:p>
      <w:r>
        <w:t>Arrêt de la IIe Cour administrative du Tribunal cantonal | Raumplanung und Bauwesen</w:t>
      </w:r>
    </w:p>
    <w:p>
      <w:pPr>
        <w:pStyle w:val="Heading2"/>
      </w:pPr>
      <w:r>
        <w:t>Erwägungen</w:t>
      </w:r>
    </w:p>
    <w:p>
      <w:r>
        <w:rPr>
          <w:b/>
        </w:rPr>
        <w:t>E. 1.1</w:t>
      </w:r>
    </w:p>
    <w:p>
      <w:r>
        <w:t>Déposé dans le délai et les formes prescrits auprès de l'autorité compétente - et l'avance des frais de procédure ayant été versée en temps utile - le recours est recevable en vertu de l'art. 114 al. 1 let. c du code fribourgeois du 23 mai 1991 de procédure et de juridiction administrative (CPJA; RSF 150.1) et de l'art. 141 al. 1 LATeC. Au moment du dépôt du recours, le requérant des permis du projet immobilier était propriétaire des articles bbb RF de la Commune de C.________ et ddd RF de la Commune de E.________. Selon les informations ressortant du RF, il a cependant vendu le bien-fonds ddd RF de la Commune de E.________ et n'en est donc plus propriétaire. Le recourant n'ayant pas informé le Tribunal de ce</w:t>
      </w:r>
    </w:p>
    <w:p>
      <w:r>
        <w:t>Tribunal cantonal TC Page 7 de 11 changement, la question de savoir s'il a toujours un intérêt au recours peut rester ouverte, dès lors que celui-ci doit dans tous les cas être rejeté.</w:t>
      </w:r>
    </w:p>
    <w:p>
      <w:r>
        <w:rPr>
          <w:b/>
        </w:rPr>
        <w:t>E. 1.2</w:t>
      </w:r>
    </w:p>
    <w:p>
      <w:r>
        <w:t>Selon l'art. 77 al. 1 CPJA, le recours devant le Tribunal cantonal peut être formé pour violation du droit, y compris l'excès ou l'abus du pouvoir d'appréciation (let. a) et pour constatation inexacte ou incomplète des faits pertinents (let. b). Aucune question d'opportunité ne se pose en l'espèce.</w:t>
      </w:r>
    </w:p>
    <w:p>
      <w:r>
        <w:rPr>
          <w:b/>
        </w:rPr>
        <w:t>E. 2</w:t>
      </w:r>
    </w:p>
    <w:p>
      <w:r>
        <w:t>L'indice acquis et l'indice reporté doivent être indiqués dans toute demande de permis portant sur un immeuble touché par un tel report."</w:t>
      </w:r>
    </w:p>
    <w:p>
      <w:r>
        <w:rPr>
          <w:b/>
        </w:rPr>
        <w:t>E. 2.1</w:t>
      </w:r>
    </w:p>
    <w:p>
      <w:r>
        <w:t>Aux termes de l'art. 130 al. 1 LATeC, l'utilisation admissible des surfaces désignées dans le plan d'affectation des zones est définie par la fixation des indices bruts d'utilisation du sol, de masse, d'occupation du sol et de surface verte. L'IBUS est le rapport entre la somme des surfaces de plancher (composée de la surface utile principale, de la surface utile secondaire, des surfaces de dégagement, des surfaces de construction et des surfaces d'installations) et la surface de terrain déterminante (cf. ch. 8.2 de l'annexe A à l'accord intercantonal du 22 septembre 2005 harmonisant la terminologie dans le domaine des constructions [AIHC]).</w:t>
      </w:r>
    </w:p>
    <w:p>
      <w:r>
        <w:rPr>
          <w:b/>
        </w:rPr>
        <w:t>E. 2.2</w:t>
      </w:r>
    </w:p>
    <w:p>
      <w:r>
        <w:t>L'art. 131 LATeC, qui traite du report d'utilisation du sol, a la teneur suivante: "1 Un report de l'indice sur des terrains contigus ou à proximité affectés à une même zone peut s'effectuer moyennant l'inscription d'une mention au registre foncier qui ne peut être supprimée qu'avec l'accord du préfet, sur le préavis communal.</w:t>
      </w:r>
    </w:p>
    <w:p>
      <w:r>
        <w:rPr>
          <w:b/>
        </w:rPr>
        <w:t>E. 2.2.1</w:t>
      </w:r>
    </w:p>
    <w:p>
      <w:r>
        <w:t>Avant l'entrée en vigueur en 2010 de la nouvelle LATeC, le report d'indice était réglé par l'ancien ReLATeC (cf. art. 58 aReLATeC) qui prévoyait que: "Le report d'indice d'utilisation consiste dans le transfert total ou partiel, sur une ou plusieurs autres parcelles contiguës, de l'indice applicable à une ou plusieurs parcelles données. L'indice pondéré, calculé sur l'ensemble de ces parcelles, ne doit pas dépasser la valeur admise par la réglementation communale pour la zone considérée." [al. 1]; "Le report d'indice d'utilisation doit s'effectuer dans le cadre d'un plan d'aménagement de détail." [al. 2]).</w:t>
      </w:r>
    </w:p>
    <w:p>
      <w:r>
        <w:rPr>
          <w:b/>
        </w:rPr>
        <w:t>E. 2.2.2</w:t>
      </w:r>
    </w:p>
    <w:p>
      <w:r>
        <w:t>Dans le cadre de la révision générale de la LATeC, cette disposition relative au report d'indice a été intégrée dans la loi. La norme de l'aReLATeC étant considérée comme trop rigide, l'art. 130 du projet de loi a étendu les possibilités de report de l'indice, alors uniquement envisageable pour l'indice d'utilisation du sol et dans le cadre d'un PAD, en prévoyant qu'un report des indices mentionnés à l'art. 129 al. 1 du projet de loi est possible, moyennant l'inscription d'une mention au Registre foncier (cf. message n° 43 du 20 novembre 2007 du Conseil d'Etat accompagnant le projet de loi sur l'aménagement du territoire et les constructions, ch. 1.3 p. 4 et ch. 3.09 p. 16). Le message précise encore que: "Le système permet le report de tous les indices mentionnés à l'article 129, pour autant qu'ils soient prévus dans la réglementation communale, indépendamment d'un PAD. Ce système plus adapté à des situations particulières, offre une grande flexibilité aux propriétaires. La jurisprudence exige que les reports d'indice ne puissent se faire qu'entre des terrains affectés à la même zone et pour des terrains contigus. La disposition va volontairement un pas plus loin, en ce sens qu'elle permettrait des reports entre des terrains à proximité l'un de l'autre (p. ex. s'ils sont séparés par une route). Le contrôle des reports effectués,</w:t>
      </w:r>
    </w:p>
    <w:p>
      <w:r>
        <w:t>Tribunal cantonal TC Page 8 de 11 tant pour les propriétaires que pour les autorités, se fait grâce à l'inscription d'une mention au Registre foncier et aux documents qui doivent accompagner toute demande de permis (à préciser dans le règlement d'exécution). Etant donné que le préfet est l'autorité compétente pour statuer sur les demandes de permis de construire (procédure ordinaire), en tenant compte du préavis communal, il est logique que la suppression d'une mention ne puisse être levée qu'avec son accord, après consultation de la commune (d'autant que ces deux autorités sont également compétentes en matière de police des constructions)." (cf. message, commentaire ad art. 130 du projet de loi, p. 29).</w:t>
      </w:r>
    </w:p>
    <w:p>
      <w:r>
        <w:rPr>
          <w:b/>
        </w:rPr>
        <w:t>E. 2.3</w:t>
      </w:r>
    </w:p>
    <w:p>
      <w:r>
        <w:t>Sur le plan fédéral, la jurisprudence considère que le transfert des possibilités de bâtir est admis en droit suisse, même sans disposition légale expresse, l'essentiel étant que la surface voisine mise à contribution pour le calcul de la surface constructible ne puisse plus servir ultérieurement à un tel calcul. Il en a été déduit que ceci implique pratiquement que la surface soit grevée d'une servitude de non-bâtir au profit de la collectivité (ATF 109 Ia 188 consid. 3; 101 Ia 289 consid. 3a). Les indices d'utilisation du sol ont notamment pour but de concrétiser les principes d'aménagement du territoire, en particulier le maintien d'une certaine harmonie entre les constructions et l'espace non bâti (cf. art. 1 et 3 LAT). Ils ne sont toutefois pas les seuls outils à disposition de l'autorité pour atteindre ces objectifs. Les règles sur les distances, sur les dimensions (longueur, largeur, hauteur) et sur l'ordre des constructions (contigu ou non contigu) remplissent en effet des fonctions similaires. Elles peuvent du reste s'appliquer en combinaison avec les indices d'utilisation du sol (arrêt TF 1C_332/2007 du 13 mars 2008 consid. 4.2). Les règles de densité prises isolément ont des conséquences variables selon la surface de la parcelle, qui peut être très petite ou très grande. La surface maximale du bâtiment à construire dépend ainsi du facteur tout fortuit de la taille de la parcelle (ATF 101 Ia 289 consid. 3a). Les objectifs de l'aménagement du territoire susmentionnés doivent donc s'analyser à l'échelle de la zone ou du quartier concerné et non seulement à l'échelle de la parcelle. C'est pour cette raison que l'on admet que le coefficient d'utilisation ou d'occupation du sol peut être transféré à certaines conditions sur une parcelle contiguë sise dans la même zone (arrêts TF 1C_332/2007 du 13 mars 2008 consid. 4.3; 1P.459/2004 du 9 février 2005 consid. 4.2.3; pour le tout, cf. arrêt TF 1C_389/2013 du 25 mars 2014 consid. 4.1). De plus, le Tribunal fédéral a, de jurisprudence constante, nié l'admissibilité d'un transfert d'indice d'une zone déterminée à une autre zone dotée de différentes prescriptions d'utilisation. Un transfert interzonal aurait en effet pour conséquence qu'en dépit des délimitations de zones, différents indices d'utilisation soient valables dans la région concernée. En outre, des constructions avec différentes utilisations du sol verraient le jour, ce qui serait contraire à l'esprit de la loi. Cela voudrait également dire que les limites de zones définies dans les plans seraient méconnues et que des décisions administratives pourraient modifier les subdivisions opérées par le planificateur communal (cf. ATF 109 Ia 188 consid. 3; arrêt TF 1P.256/2006 du 19 juillet 2006 consid. 2.5).</w:t>
      </w:r>
    </w:p>
    <w:p>
      <w:r>
        <w:rPr>
          <w:b/>
        </w:rPr>
        <w:t>E. 3</w:t>
      </w:r>
    </w:p>
    <w:p>
      <w:r>
        <w:t>En l'espèce, les constructions projetées par le recourant seront implantées sur l'article bbb RF de la Commune de C.________, situé en zone résidentielle à faible densité. Il n'est pas contesté que l'IBUS applicable à la zone, de 0.55 pour l'habitation individuelle (cf. art. 74 let. a RCU en cours de révision), n'est pas respecté et que chacune des trois demandes de permis de construire était accompagnée de deux demandes de report d'indice, identiques dans chaque cas. Les conventions de report d'indice prévoient, pour l'une, un report de surface de plancher de 754 m2 de l'article ddd</w:t>
      </w:r>
    </w:p>
    <w:p>
      <w:r>
        <w:t>Tribunal cantonal TC Page 9 de 11 RF de la Commune de E.________ sur l'article bbb RF de la Commune de C.________ et, pour l'autre, un report de surface de plancher de 47 m2 de l'article fff RF de la Commune de C.________ sur l'article bbb RF de la Commune de C.________. La principale question qui se pose en l'occurrence est de déterminer si l'art. 131 LATeC permet des reports d'indice entre des parcelles situées sur deux communes différentes.</w:t>
      </w:r>
    </w:p>
    <w:p>
      <w:r>
        <w:rPr>
          <w:b/>
        </w:rPr>
        <w:t>E. 3.1</w:t>
      </w:r>
    </w:p>
    <w:p>
      <w:r>
        <w:t>Il ressort de la lettre de l'art. 131 LATeC qu'un report d'indice ne peut s'effectuer que sur des terrains contigus ou à proximité "affectés à une même zone". Si, comme le relève le recourant, la volonté du législateur était certes, lors de la révision de la LATeC, d'élargir les possibilités du report d'indices, il apparaît clairement que l'élargissement souhaité ne visait en aucune manière à assouplir l'exigence selon laquelle les terrains doivent être affectés à une même zone, mais concernait bien plutôt essentiellement le type d'indices visés et le périmètre à considérer, à savoir des terrains sis à proximité l'un de l'autre en plus de ceux contigus. Or, une même zone ne peut à l'évidence être interprétée que comme une zone déterminée à l'intérieur d'une commune comportant des prescriptions identiques pour les parcelles concernées. Du reste, la teneur de l'art. 58 aReLATeC vient confirmer cette interprétation, puisqu'il était explicitement indiqué que l'indice pondéré ne devait pas dépasser la valeur admise "par la réglementation communale pour la zone considérée"; il en va de même des travaux préparatoires à la révision de la LATeC, dans la mesure où le message précise que le système permet le report de tous les indices mentionnés à l'art. 129 du projet de loi pour autant qu'ils soient prévus "dans la réglementation communale". Or, en l'espèce, même si les articles bbb RF de la Commune de C.________ et ddd de la Commune de E.________ sont tous deux situés en zone résidentielle à faible densité dans leurs PAL respectifs, force est de constater que les prescriptions régissant ces deux zones diffèrent sur plusieurs aspects (notamment IBUS, hauteur des bâtiments, distance à la limite, forme des toitures; cf. art. 71 ss RCU en cours de révision de la Commune de C.________ et art. 7 RCU de la Commune de E.________) et que, partant, il ne s'agit à l'évidence pas d'"une même zone" au sens de l'art. 131 LATeC. Pour ce motif déjà, c'est à bon droit que l'autorité intimée a refusé le report d'indice en question. En effet, l'IBUS applicable pour l'habitation individuelle est de 0.55 pour la parcelle bbb RF de C.________ et de 0.80 pour la parcelle ddd RF de E.________. La situation de l'espèce s'apparente ainsi à un transfert interzonal – quand bien même l'intitulé des zones est identique – précisément non admis par le Tribunal fédéral (cf. consid. 2.3 ci-dessus), puisqu'un tel transfert serait contraire aux buts et principes de l'aménagement du territoire en autorisant différents indices dans la région concernée, au mépris des délimitations de zones opérées par le planificateur communal. A cela s'ajoute encore en l'occurrence que le recourant souhaite procéder à un report d'indice entre deux parcelles non seulement situées dans des zones différentes, mais également sises sur deux Communes distinctes. Sur cet aspect, la Cour de céans se rallie entièrement à l'avis circonstancié du SeCA – auquel il est ici renvoyé – selon lequel un report d'indice intercommunal ne peut pas être autorisé. En effet, la planification des communes fait l'objet d'une procédure qui lui est propre (cf. art. 34 ss LATeC et, plus particulièrement, art. 38 ss LATeC), au terme de laquelle les règles et mesures adéquates doivent être approuvées par le canton. Or, c'est dans ce contexte qu'est effectué un calcul de dimensionnement des surfaces constructibles, de même qu’est fixé le potentiel de constructions des parcelles en zone à bâtir. Le report d'indice entre parcelles sises sur différentes communes signifie partant le transfert d'une partie du potentiel constructible d'une commune sur une autre, ce qui est contraire à l'esprit de la LAT. Enfin, le</w:t>
      </w:r>
    </w:p>
    <w:p>
      <w:r>
        <w:t>Tribunal cantonal TC Page 10 de 11 recourant qui estime que la vision du SeCA centrée sur un aménagement du territoire à l'échelle communale est désuète car celle-là tend depuis plusieurs années vers une approche plus globale perd de vue que la nécessité de prendre en compte le développement supra-communal, régional, voire supra-régional s'impose dans le cadre de la planification – comme cela ressort clairement du message qu'il cite dans son recours – et non pas dans l'application des prescriptions communales en matière de construction. Au demeurant, comme l'a relevé le SeCA, les arrêts du Tribunal fédéral cités par le recourant (arrêt 1C_389/2013 du 25 mars 2014 et 1C_478/2015 du 8 avril 2016) ne sont pas pertinents sur ce point, dès lors qu'ils ne concernaient pas un report d'indice intercommunal.</w:t>
      </w:r>
    </w:p>
    <w:p>
      <w:r>
        <w:rPr>
          <w:b/>
        </w:rPr>
        <w:t>E. 3.2</w:t>
      </w:r>
    </w:p>
    <w:p>
      <w:r>
        <w:t>Il résulte de ce qui précède que c'est à juste titre que le préfet a refusé d'admettre le report d'indice sollicité de l'article ddd RF de la Commune de E.________ sur l'article bbb RF de la Commune de C.________. Dans la mesure où les trois demandes de permis de construire étaient accompagnées des deux mêmes conventions de report d'indice prévoyant des reports de surface de plancher sur l'article bbb RF de la Commune de C.________, sans répartition individuelle pour chaque bâtiment, les permis de construire devaient être refusés pour ce seul motif déjà. Partant, point n'est besoin d'examiner l'admissibilité de la demande de report d'indice de l'article fff (à détacher de l'article bbb) RF de la Commune de C.________ sur l'article bbb RF de la Commune de C.________. De même, la question de savoir si la surface dont le report est demandé dans les deux conventions est trop conséquente – comme l'a retenu le préfet – ou non – comme le soutient le recourant – peut rester ouverte, tout comme la méthode de calcul de la capacité constructive de la parcelle bbb RF de la Commune de C.________ après les reports d'indice. Il en découle que le grief tiré de la violation du droit d'être entendu doit être écarté, ce d'autant plus que, contrairement à ce qu'allègue le recourant, le préfet a tenu compte du second report d'indice de l'article fff RF (à détacher de l'article bbb) RF de la Commune de C.________ dans le cadre du calcul de la capacité constructive de la parcelle bbb RF de la Commune de C.________ suite aux deux reports d'indice. Enfin, comme déjà mentionné, les trois demandes de permis de construire étaient accompagnées des deux mêmes conventions de report d'indice prévoyant des reports de surface de plancher sur l'article bbb RF de la Commune de C.________, sans répartition individuelle pour chaque bâtiment. Aussi, invité par l'autorité intimée à se déterminer sur les préavis négatifs notamment du SeCA, il appartenait au recourant d'indiquer que si le préfet entendait suivre l'avis du SeCA, il maintenait ses demandes uniquement pour les bâtiments A et B. Il n'incombait à l'évidence pas au préfet d'examiner si un ou plusieurs permis pouvaient être octroyés sans le report d'indice de l'article ddd RF de la Commune de E.________, ce d'autant plus que le projet prévoit un parking souterrain commun aux trois bâtiments. Dans ces circonstances, le grief de violation du principe de la proportionnalité doit également être écarté. Enfin, au vu des considérants qui précèdent, il peut sans autre être renoncé à ordonner une inspection des lieux. Dès lors que les parcelles concernées par le report d'indice sont situées sur deux communes différentes – dont la réglementation des zones résidentielles à faible densité est en outre différente – et compte tenu des arguments du recourant et des pièces du dossier de la cause, cette offre de preuve ne changera rien au résultat de la présente procédure.</w:t>
      </w:r>
    </w:p>
    <w:p>
      <w:r>
        <w:t>Tribunal cantonal TC Page 11 de 11</w:t>
      </w:r>
    </w:p>
    <w:p>
      <w:r>
        <w:rPr>
          <w:b/>
        </w:rPr>
        <w:t>E. 4</w:t>
      </w:r>
    </w:p>
    <w:p>
      <w:r>
        <w:t>Entièrement mal fondé, le recours doit être rejeté et les décisions rendues le 10 décembre 2019 par le Préfet du district de la Gruyère confirmées.</w:t>
      </w:r>
    </w:p>
    <w:p>
      <w:r>
        <w:rPr>
          <w:b/>
        </w:rPr>
        <w:t>E. 5</w:t>
      </w:r>
    </w:p>
    <w:p>
      <w:r>
        <w:t>Les frais de procédure sont mis à la charge du recourant qui succombe, conformément à l'art. 131 CPJA. Ils sont fixés selon les art. 1 et 2 du tarif fribourgeois du 17 décembre 1991 des frais de procédure et des indemnités en matière de juridiction administrative (RSF 150.12). Pour le même motif, il n'est pas alloué d'indemnité de partie. la Cour arrête : I. Le recours est rejeté. II. Les frais de procédure, fixés à CHF 3'000.-, sont mis à la charge du recourant. Ils sont compensés par l'avance de frais versée. III. Il n'est pas alloué d'indemnité de partie. IV. Notification.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12 octobre 2020/jfr/vth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