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2019 146 vom 26. März 2020</w:t>
      </w:r>
    </w:p>
    <w:p>
      <w:r>
        <w:t>FR Kantonsgericht, 2020-03-26, FR</w:t>
      </w:r>
    </w:p>
    <w:p>
      <w:r>
        <w:rPr>
          <w:b/>
        </w:rPr>
        <w:t xml:space="preserve">Quelle: </w:t>
      </w:r>
      <w:r>
        <w:t>https://mcp.opencaselaw.ch/entscheid/fr_gerichte_602_2019_146</w:t>
      </w:r>
    </w:p>
    <w:p>
      <w:r>
        <w:t>FR: FR_GERICHTE 602 2019 146 du 26 mars 2020</w:t>
      </w:r>
    </w:p>
    <w:p>
      <w:r>
        <w:t>IT: FR_GERICHTE 602 2019 146 del 26 marzo 2020</w:t>
      </w:r>
    </w:p>
    <w:p>
      <w:pPr>
        <w:pStyle w:val="Heading2"/>
      </w:pPr>
      <w:r>
        <w:t>Regeste</w:t>
      </w:r>
    </w:p>
    <w:p>
      <w:r>
        <w:t>Arrêt de la IIe Cour administrative du Tribunal cantonal | Beschaffungswesen</w:t>
      </w:r>
    </w:p>
    <w:p>
      <w:pPr>
        <w:pStyle w:val="Heading2"/>
      </w:pPr>
      <w:r>
        <w:t>Erwägungen</w:t>
      </w:r>
    </w:p>
    <w:p>
      <w:r>
        <w:rPr>
          <w:b/>
        </w:rPr>
        <w:t>E. 16</w:t>
      </w:r>
    </w:p>
    <w:p>
      <w:r>
        <w:t>al. 2 AIMP); que la recourante se plaint tout d'abord d'une violation de son droit d'être entendue dès lors que la décision attaquée ne serait pas suffisamment motivée; qu'il faut constater à cet égard que l'intéressée a obtenu une motivation complète et détaillée dans le cadre de la réponse au recours, de sorte qu'elle a pu se rendre compte de la portée de la décision attaquée et des raisons pour lesquelles son offre n'a pas été retenue. Elle a par ailleurs disposé de suffisamment de temps depuis la notification des observations pour déposer une éventuelle prise de position complémentaire si elle estimait que les précisions reçues la justifiait, ce qu'elle n'a pas fait; que, par conséquent, on doit constater qu'une éventuelle violation du droit d'être entendu a été, de toute manière, réparée au stade de la procédure de recours; qu'en outre, il convient de rappeler que, selon l'art 34a al. 2 RMP, les décisions d'adjudication sont sommairement motivées et indiquent la voie de recours. Il est communément admis que le tableau récapitulatif multicritère annexé à la décision tient lieu de motivation; que l'art. 34a al. 3 RMP précise que, sur demande du soumissionnaire non retenu, l'adjudicateur indique le type de procédure utilisé (let. a), le nom du soumissionnaire retenu (let. b), le prix de l'offre retenue (let. c), les motifs pour lesquels son offre n'a pas été retenue (let. d) et les caractéristiques et avantages de l'offre retenue (let. e); qu'en l'occurrence, à réception de la décision attaquée et du tableau d'analyse multicritères, la recourante n'a pas pris contact avec le Service des bâtiments afin de connaître les motifs essentiels pour lesquels son offre n'a pas été retenue et les caractéristiques de l'offre choisie. Elle a directement recouru auprès du Tribunal cantonal; qu'ainsi qu'il a été vu ci-dessus, elle a obtenu dans le cadre de la procédure de recours les informations utiles qu'elle aurait reçues si elle avait suivi les règles de l'art 34a RMP. Elle ne peut donc pas se plaindre du fait qu'elle a dû recourir pour obtenir une motivation plus précise; que, sur le fond, la recourante conteste l'appréciation de son offre en lien avec les critères 2,2 "qualification du personnel (diplômes certificats)", 2.6 "qualifications du responsable du chantier (diplômes)", qualifications du responsable du chantier (expérience)" et 2.7 "nombre et qualification du personnel prévu pour le chantier";</w:t>
      </w:r>
    </w:p>
    <w:p>
      <w:r>
        <w:t>Tribunal cantonal TC Page 4 de 6 que, selon la grille d'évaluation, arrêtée le 22 août 2019, il est notamment prévu ce qui suit:  critère 2.2: qualification du personnel: note 2 (reçue par la recourante): seulement des CFC, note 5 (reçue par l'adjudicataire): plusieurs diplômes supérieurs ou maîtrises fédérales, nombreux CFC;  critère 2.6, qualification du responsable du chantier (diplômes): note 3 (recourante): CFC ou équivalent, note 5 (adjudicataire): diplôme HES ou équivalent;  critère 2.6, qualification du responsable du chantier (expérience): note 1 (recourante) expérience de moins de 5 ans, note 3 (adjudicataire): expérience de 10 à 15 ans;  critère 2.7, nombre et qualification du personnel prévu sur le chantier: note 3 (recourante): personnel de l'entreprise (chantier) juste suffisant, note 5 (adjudicataire): personnel de l'entreprise (chantier) correspondant parfaitement aux exigences; que les distinctions faites dans le cadre de cette grille d'évaluation sont défendables et s'inscrivent clairement dans le pouvoir d'appréciation de l'autorité intimée. Elles ne s'avèrent donc pas arbitraires. De plus, cette grille a été établie avant l'ouverture des offres le 9 septembre 2019 et n'a donc pas été établie dans le but de favoriser ou de porter préjudice à un soumissionnaire précis; qu'en tant que, sur le principe, la recourante conteste la pertinence du critère 2.2, on doit constater qu'elle est forclose pour faire valoir cette critique dès lors qu'elle n'a pas agi contre la demande d'appel d'offre (document C1) qui mentionnait expressément ce critère (ATF 130 I 241 consid. 4.2; 125 I 203 consid. 3a; arrêt TC FR 602 2019 118 du 30 octobre 2019); qu'au demeurant, contrairement à ce que prétend la recourante, il entre dans le pouvoir d'appréciation du maître de l'ouvrage de noter la qualification globale du personnel de l'entreprise soumissionnaire actif dans le domaine du marché - indépendamment des personnes qui seront affectées au chantier - dès lors que des personnes non impliquées directement sur le chantier peuvent aussi avoir une influence au sein de l'entreprise sur la gestion du marché attribué; que, pour le surplus, la recourante ne conteste pas qu'elle ne dispose que de personnes au bénéfice de CFC, ce qui justifie la note 2 reçue pour le critère 2.2. Elle ne nie pas non plus que l'adjudicataire compte deux titulaires de diplômes fédéraux et de plusieurs CFC dans ses rangs (note 5). Les critiques sur ce critères sont donc injustifiées; qu'en en va de même des griefs visant la mise en oeuvre des critères 2.6 (diplômes), 2.6 (expérience). En effet, son chef de chantier est au bénéfice d'un CFC uniquement et n'agit en qualité de chef de chantier que depuis 3 ans. Les notes de 3 et de 1 sont conformes à la grille d'évaluation. Dans la mesure où l'adjudicataire répond, elle aux exigences justifiant les notes de 5 et de 3, la notation sur la base du critère 2.6, diplôme et expérience, échappe à la critique; qu'à la lecture de la grille d'évaluation, il est vrai que le critère 2.7 relatif au nombre et à la qualification du personnel sur le chantier laisse ouvert un certain pouvoir d'appréciation puisqu'il se fonde notamment sur un nombre "juste suffisant" (note 3 de la recourante) et un nombre "correspondant parfaitement aux exigences" (note 5 de l'adjudicataire). Les précisions données après coup par l'ingénieur CVS du pool des mandataires dans le cadre des observations de l'autorité intimée ne sont pas déterminantes à ce propos, même si elles donnent une indication sur la manière dont le critère peut avoir été mis en oeuvre;</w:t>
      </w:r>
    </w:p>
    <w:p>
      <w:r>
        <w:t>Tribunal cantonal TC Page 5 de 6 qu'il en ressort que 4 personnes dont 1 technicien, 1 contremaître, 1 monteur qualifié et 1 monteur non qualifié forment une équipe de chantier suffisante (note 3) et que la note 5 est attribuée dès 5 personnes, dont 1 technicien, 1 contremaître, 2 monteurs qualifiés et 1 monteur non qualifié; qu'en l'occurrence, la recourante a annoncé 4 personnes pour le chantier, dont 1 responsable de chantier (CFC de projecteur et de monteur), 1 chef d'équipe (CFC de monteur), 1 monteur en chauffage avec CFC et 1 monteur non qualifié. Elle n'a pas compté en tant que personne mise à disposition pour le chantier l'aide-monteur annoncé; que, pour sa part, l'adjudicataire s'est engagée à mettre 8 à 10 personnes à disposition sur le chantier parmi lesquelles 2 responsables de chantier (ingénieur HES et CFC), 1 contremaître (CFC avec maîtrise), 6 ouvriers avec CFC et deux apprentis; que, face à des effectifs aussi dissemblables, on doit constater que, même sans les précisions données dans les observations, la différence de notation se fonde sur des faits objectifs, de sorte que la mise en oeuvre du critère 2.7 reste conforme aux exigences d'égalité de traitement des concurrents; qu'en effet, il entre à nouveau dans le pouvoir d'appréciation de l'adjudicateur de donner la préférence à une entreprise qui peut assurer une présence accrue sur le chantier. Cela ressort clairement de la grille d'évaluation telle qu'elle a été arrêtée le 22 août 2019; que ces considérants conduisent au rejet du recours, manifestement mal fondé; que, dans la mesure où la recourante a disposé de toutes les informations nécessaires pour défendre ses intérêts en lien avec les griefs invoqués (spécialement par le biais des renseignements sur sa notation et celle de l'adjudicataire figurant dans les observations de l'autorité intimée et qui correspondent au dossier de la cause), il n'y a pas lieu de lui donner accès à l'offre de l'adjudicataire et encore moins aux documents purement internes de l'adjudicateur. Ses requêtes procédurales sont ainsi rejetées; que, la Cour s'étant prononcée sur le fond, la demande d'octroi de l'effet suspensif (602 2019 148) est devenue sans objet; qu'il appartient à la recourante qui succombe de supporter les frais de procédure (art. 131 CPJA); qu'il lui incombe aussi de verser une indemnité de partie à l'adjudicataire qui a fait appel aux services d'un avocat pour défendre ses intérêts (art 137 CPJA); (dispositif en page suivante)</w:t>
      </w:r>
    </w:p>
    <w:p>
      <w:r>
        <w:t>Tribunal cantonal TC Page 6 de 6 la Cour arrête : I. Le recours (602 2019 146) est rejeté dans la mesure où il est recevable. Partant, la décision du 18 novembre 2019 est confirmée. II. Il est constaté que la requête d'octroi de l'effet suspensif (602 2019 148) est devenue sans objet. III. Les frais de procédure sont mis par CHF 2'500.- à la charge de la recourante. Ils sont compensés avec l'avance de frais effectuée. IV. Un montant de CHF 5'700.- (y compris CHF 407.50 de TVA) à verser à Me Amy à titre d'indemnité de partie est mis à la charge de la recourante. V. Notification. Pour autant qu'elle pose une question de principe,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26 mars 2020/cpf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