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60 vom 31. Januar 2018</w:t>
      </w:r>
    </w:p>
    <w:p>
      <w:r>
        <w:t>FR Kantonsgericht, 2018-01-31, FR</w:t>
      </w:r>
    </w:p>
    <w:p>
      <w:r>
        <w:rPr>
          <w:b/>
        </w:rPr>
        <w:t xml:space="preserve">Quelle: </w:t>
      </w:r>
      <w:r>
        <w:t>https://mcp.opencaselaw.ch/entscheid/fr_gerichte_602_2017_60</w:t>
      </w:r>
    </w:p>
    <w:p>
      <w:r>
        <w:t>FR: FR_GERICHTE 602 2017 60 du 31 janvier 2018</w:t>
      </w:r>
    </w:p>
    <w:p>
      <w:r>
        <w:t>IT: FR_GERICHTE 602 2017 60 del 31 gennaio 2018</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l'avance de frais ayant en outre été versée en temps utile, le recours est recevable en vertu des art. 79 ss et 114 al. 1 let. a du code fribourgeois du 23 mai 1991 de procédure et de juridiction administrative (CPJA; RSF 150.1).</w:t>
      </w:r>
    </w:p>
    <w:p>
      <w:r>
        <w:t>Tribunal cantonal TC Page 4 de 13 A.________ SA est au bénéfice d'un droit d'emption sur l'article ooo RF. Elle a dès lors un intérêt à agir. Les autres recourants sont propriétaires de parcelles jouxtant l'article ooo RF et sont partant touchés plus que d'autres par la non-approbation de la mise en zone de la parcelle voisine, ce qui les met en situation de pouvoir saisir le Tribunal cantonal. Celui-ci peut dès lors entrer en matière sur les mérites du recours.</w:t>
      </w:r>
    </w:p>
    <w:p>
      <w:r>
        <w:rPr>
          <w:b/>
        </w:rPr>
        <w:t>E. 2</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a) Les nouvelles dispositions de la LAT – entrées en vigueur le 1er mai 2014 – redéfinissent notamment le contenu des plans directeurs cantonaux (art. 8 et 8a LAT) et précisent les critères que doit remplir un terrain pour pouvoir être classé en zone à bâtir (art. 15 LAT). Les cantons doivent définir dans leurs plans directeurs la répartition des surfaces à bâtir et la coordination régionale. A titre transitoire, l'art.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b) L'art. 34 al. 1 de la loi fribourgeoise du 2 décembre 2008 sur l'aménagement du territoire et les constructions (LATeC; RSF 710.1)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w:t>
      </w:r>
    </w:p>
    <w:p>
      <w:r>
        <w:t>Tribunal cantonal TC Page 5 de 13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Commentaire pratique LAT: planifier l'affectation, 2016, ad art. 15 n° 23; cf. HETTICH/MATHIS, in FHB Öffentliches Baurecht, 2016, n° 1.52).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D'une part, dès lors que l'aménagement du territoire est un processus continu et que la détermination des différentes affectations implique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(ATF 132 II 408 consid. 4.2).</w:t>
      </w:r>
    </w:p>
    <w:p>
      <w:r>
        <w:rPr>
          <w:b/>
        </w:rPr>
        <w:t>E. 4</w:t>
      </w:r>
    </w:p>
    <w:p>
      <w:r>
        <w:t>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al. 4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ad art. 15 LAT p. 43 et les références citées). Cependant, il y a également lieu de tenir compte du développement supra- communal, régional, voire supra-régional (ATF 116 Ia 339 consid. 3b/aa; arrêt TF 1C_119/2007 du 13 novembre 2008 consid. 3.2.3, in ZBl 2009 I 315; art. 15 al. 3 LAT). La Haute Cour a considéré</w:t>
      </w:r>
    </w:p>
    <w:p>
      <w:r>
        <w:t>Tribunal cantonal TC Page 8 de 13 que le calcul des besoins en zone à bâtir ne pouvait pas uniquement se faire sur la base du plan directeur cantonal (PDCant) présumé désuet avec l'entrée en vigueur de la nouvelle LAT, mais qu'il nécessitait notamment un examen concret supra-communal, voire régional (cf. ATF 141 II 393 consid. 3; arrêt TF 1C_15/2013 du 9 août 2013 consid. 2.3.2). d) Pour déterminer la zone à bâtir d'une commune, il y a dès lors lieu de tenir compte en particulier des principes suivants, principes dont la signification a été renforcée avec la révision de la LAT de 2014 et qui se reflètent également dans le nouveau PDCant tel qu'il a été mis en consultation publique le 10 novembre 2017.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ad art. 15 LAT n° 56).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(AEMISEGGER/KISSLING, ad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ad art. 15 LAT n° 73). Le principe du développement durable (cf. consid. 4a ci-dessus) impose dès lors davantage encore d'éviter une analyse qui se limite au territoire d'une seule commune.</w:t>
      </w:r>
    </w:p>
    <w:p>
      <w:r>
        <w:t>Tribunal cantonal TC Page 9 de 13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p. 226). Pour le canton de Fribourg, à l'horizon 2032, le nombre d'habitants et d'emplois à accueillir dans les zones de centre, résidentielles et mixtes sera de 409'706, alors que les zones actuellement légalisées permettent l'accueil de 366'966 habitants. Les zones destinées à l'habitat actuellement légalisées ne suffiront donc pas à absorber la croissance attendue. Cet état de fait a été validé par l'Office fédéral du développement territorial (cf. B. Volet stratégique, Nouveau PDCant, p. 7). Le PDCant présenté en novembre 2017 – prévu pour adoption par le Conseil d'Etat en octobre 2018 et pour approbation par la Confédération en mai 2019 – tient compte de ce constat et prévoit que des extensions pourront être étudiées à l'intérieur du territoire d'urbanisation. Celles-ci ne seront toutefois admises qu'avec une densité correspondant à une utilisation optimale. Le nouveau PDCant interdit en conséquence des nouvelles zones à bâtir destinées à la faible densité, par exemple pour des villas individuelles. De telles zones ne pourront plus être planifiées. Par ailleurs, la représentation du territoire d'urbanisation sur la carte de synthèse du nouveau PDCant permet d'identifier les secteurs où le canton juge que les extensions de zones à bâtir sont importantes même si elles se situent sur des surfaces d'assolement. D'après le nouveau PDCant, la Commune de L.________ se retrouve, en partie du moins, dans l'espace périurbain, c'est-à-dire qu'elle est considérée comme une commune d'agglomération selon l'Office fédéral de la statistique, mais située hors du centre cantonal et des centres régionaux (cf. B. Volet stratégique, Nouveau PDCant, p. 11). En outre, le schéma stratégique (cf. B. Volet stratégique, Nouveau PDCant, p. 23) définit les priorités de développement comme suit: " Agglomérations (priorité 1): Croissance prioritaire Centres régionaux (priorité 2): Croissance prioritaire Tissu urbain hors-centres (priorité 3): Croissance stable Tissu périurbain et villageois (priorité 4): Croissance modérée Tissu touristique (priorité 4): Développement adapté Espace rural: Préservation des bonnes terres agricoles".</w:t>
      </w:r>
    </w:p>
    <w:p>
      <w:r>
        <w:rPr>
          <w:b/>
        </w:rPr>
        <w:t>E. 5</w:t>
      </w:r>
    </w:p>
    <w:p>
      <w:r>
        <w:t>En l'occurrence, les recourants dressent l'historique de leurs relations avec les propriétaires de l'article ooo RF et les contrats et promesses de vente conclus avec ceux-ci. Ils se réfèrent également aux autorités communales, dont la volonté était depuis longtemps de mettre en zone la parcelle ooo RF. Ils renvoient en particulier aux périmètres d'implantation des villas du quartier de P.________, qui correspondaient – du côté de l'article ooo RF – à la limite de zone selon le PAL et qui n'imposaient selon eux pas de respecter une quelconque distance à la limite parcellaire "puisqu'il était alors prévu d'ajouter une zone d'aisance à chacune des parcelles concernées". De l'avis des recourants, ces éléments permettent d'admettre la violation du principe de la confiance.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w:t>
      </w:r>
    </w:p>
    <w:p>
      <w:r>
        <w:t>Tribunal cantonal TC Page 10 de 13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6.1 et les références citées). Selon la jurisprudence, la révision d'un plan d'affectation après l'entrée en vigueur d'un plan de quartier ne contrevient pas en soi à la protection de la bonne foi. En particulier, on ne peut voir dans la validation d'un plan de quartier par l'autorité compétence aucune assurance du maintien des prescriptions relatives aux constructions et à l'aménagement du territoire en vigueur. En approuvant le plan de quartier, l'autorité compétente exprime qu'il correspond à la situation juridique en vigueur à ce moment: l'approbation d'un plan de quartier ne donne cependant aucun droit à ce que des parcelles demeurent durablement en zone constructible (arrêt TF 1C_287/2016 du 5 janvier 2017 consid. 3.5; cf. ATF 131 II 728 consid. 2.5; 118 Ia 151 consid. 6c; arrêt TF 1C_311/2010 du 7 octobre 2010 consid. 7.3). b) En l'espèce, on ne saurait déduire du PAD P.________ – qui ne peut par définition que concerner la zone constructible – que des terrains adjacents non compris dans son périmètre devraient être mis en zone dans le futur. Certes, la commune avait vraisemblablement cette volonté vu le contenu de son propre recours. L'implantation des constructions et la configuration des lieux vont également dans ce sens; il ressort d'ailleurs d'un dossier de permis de construire (n°vvv) qu'il était prévu de déplacer la limite de la parcelle sise dans le périmètre du PAD sur celle de l'article ooo RF. Or, la situation juridique de l'article ooo RF quant à sa constructibilité (zone agricole) était sans équivoque à l'époque et l'est toujours. Il devait ainsi être clair pour les recourants qu'une future mise en zone était incertaine, dès lors que la compétence pour y procéder n'incombe manifestement pas à la seule commune. Il y a lieu de souligner que, contrairement à ce que laissent entendre les recourants, le PAD P.________ ne concerne manifestement pas l'affectation ou l'utilisation de la parcelle ooo RF, mais permet tout au plus la construction en limite de zone. Dès lors que le périmètre d'implantation correspond à la limite même du secteur du PAD du côté de l'article ooo RF, l'emplacement concret des bâtiments pouvait être librement choisi; cela dit, comme il ressort d'ailleurs des dossiers de permis de construire, les limites par rapport aux parcelles voisines – y compris celle de l'article ooo RF – devaient être respectées ou faire l'objet d'une convention de dérogation pour construction à distance illégale. En outre, il est évident que des négociations entreprises avec la commune ne consistent pas en une promesse de mettre en zone constructible les terrains litigieux, cela d'autant plus que la compétence d'approbation des plans revient à la DAEC. En effet, selon la jurisprudence, même la constitution de servitudes d'équipement et de charges foncières liées au fractionnement de la zone ne sont pas des garanties de la constructibilité des parcelles. D'éventuelles démarches entreprises par la commune pour équiper un quartier ne peuvent pas non plus être interprétées comme une assurance concrète quant au maintien ou à la mise en zone d'une parcelle en zone à bâtir. Elles</w:t>
      </w:r>
    </w:p>
    <w:p>
      <w:r>
        <w:t>Tribunal cantonal TC Page 11 de 13 n'empêchent pas l'autorité communale ou cantonale d'envisager par la suite une modification de la planification en vigueur, compte tenu notamment de l'évolution de la LAT (arrêt TF 1C_241/2016 du 21 avril 2017 consid. 3.2). En l'occurrence, le Tribunal a requis la production des dossiers de permis de construire concernant les parcelles du PAD attenantes à l'article ooo RF, à savoir les parcelles articles qqq, rrr, sss, ttt et uuu RF. Il en ressort que le préfet a exigé des dérogations pour construction à distance illégale. Par ailleurs, dans le permis de construire n°vvv, celui-ci a expressément rendu les propriétaires de l'article qqq RF (anciennement www) attentifs aux conditions émises par l'Office des constructions et de l'aménagement du territoire (actuellement SeCA) quant à l'utilisation de la surface de la parcelle se trouvant en zone agricole, soit la partie de l'article ooo RF actuel, à savoir qu'aucune construction même de peu d'importance et aucun aménagement ne devront être réalisés sur cette partie de la parcelle. Ainsi, la volonté du préfet était clairement non seulement de ne pas autoriser de constructions ou aménagements en zone agricole – ce dont il n'avait de toute façon pas la compétence –, mais également de faire respecter les limites de construction. Si, pour une des constructions, le terrain naturel devait avoir été modifié en zone agricole comme le prétendent les recourants en produisant un plan de façade, ceux-ci ne peuvent pas conclure le contraire, dès lors qu'il ne pouvait s'agir que d'une éventuelle inattention des autorités. Dans ces circonstances, les permis de construire ont été délivrés conformément au droit de l'aménagement du territoire et il ne s'agit donc pas de légaliser des constructions non conformes à celui-ci sur la partie sise en zone agricole. Les permis de construire délivrés ne sauraient donc pas non plus fonder la confiance des recourants quant à une mise en zone de l'article ooo RF. On terminera par le constat que des promesses et contrats entre les propriétaires privés des bien- fonds ne sont à l'évidence pas aptes à garantir une future mise en zone. Partant, la mise en zone de la parcelle ooo RF ne saurait être justifiée par le principe de la confiance.</w:t>
      </w:r>
    </w:p>
    <w:p>
      <w:r>
        <w:rPr>
          <w:b/>
        </w:rPr>
        <w:t>E. 6</w:t>
      </w:r>
    </w:p>
    <w:p>
      <w:r>
        <w:t>Les recourants sont d'avis que, sur le fond, le refus de mise en zone de l'article ooo RF ne se justifie pas à la lumière des principes régissant l'aménagement du territoire. Les recourants font essentiellement référence à des intérêts privés qui, selon eux, justifient la mise en zone. Il y a lieu de souligner que ceux-ci ne consistent manifestement pas en une dépréciation de leurs terrains dans le sens d'une expropriation matérielle ou formelle. Il s'agit en effet uniquement d'une perte de la possibilité d'une plus-value. Dans ces circonstances, les recourants ne peuvent pas prétendre que leur droit à la propriété serait atteint d'une manière importante. La perte d'une expectative incertaine ne peut pas être prise en compte d'une manière importante dans la pesée des intérêts ici en jeu. En outre, il y a lieu de relever que les recourants devaient connaître l'impossibilité d'ériger des constructions ou de procéder à des aménagements en zone agricole. Cette obligation est d'ailleurs mentionnée explicitement dans un des permis de construire. Dans l'hypothèse où les recourants n'auraient pas respecté cette interdiction, le seul but de légaliser ces éventuelles installations ne saurait constituer un motif pour déroger aux buts et principes de la LAT décrits ci-dessous. On rappellera tout d'abord qu'intégrée au périmètre périurbain selon le nouveau PDCant en raison de sa localisation géographique, la Commune de L.________ est davantage touchée par les mesures de préservation des surfaces agricoles et de la nature et des paysages que par les mesures d'urbanisation, notamment de densification stratégique. En effet, selon le nouveau</w:t>
      </w:r>
    </w:p>
    <w:p>
      <w:r>
        <w:t>Tribunal cantonal TC Page 12 de 13 PDCant, la priorisation de développement ne se situe qu'en quatrième position pour cette commune. On peine d'ailleurs à comprendre la justification d'une densification – si celle-ci était le véritable but de la mesure (voir ci-dessous) – en bordure extérieure d'une zone constructible dans un village périphérique, isolée du centre urbain et sur des terres qui, selon le Service de l'agriculture (SAgri), doivent être préservées (cf. préavis du 4 janvier 2016). En cela, la modification contestée se heurte aux principes de l'aménagement du territoire préconisant une orientation du développement de l'urbanisation vers l'intérieur du milieu bâti ainsi que la création d'un milieu bâti compact (art. 1 al. 2 let. abis et b LAT). S'agissant précisément de l'obligation de densifier – qui ne devrait de toute manière pas prioritairement avoir lieu à cet endroit du territoire cantonal – la classification en zone à construire de l'article ooo RF contrevient carrément au sens propre de ce principe, dès lors qu'aucune densification n'y est prévue. Au contraire, comme il s'agit d'une zone de détente pour les propriétaires, la Commune de L.________ a assorti cette parcelle de prescriptions particulières. En effet, l'art. 24 al. 10 ch. 2 du nouveau RCU dispose ce qui suit, à titre de prescriptions particulières pour la zone résidentielle à faible densité I: "Secteur de P.________ (art. ooo): Seuls les agrandissements de bâtiments et les constructions de dimensions restreintes (max. 3.0 m x 3.0 m, h. 2.50 m), de type abris de jardins ou de jeux et les équipements d'agréments de type piscine sont autorisés dans le secteur faisant l'objet de prescriptions spéciales. Le secteur longeant la parcelle art. xxx est inconstructible sur une profondeur de 14.00 m". Admettre une telle mise en zone aurait pour conséquence de diminuer la zone agricole sans en contrepartie mettre ce terrain à disposition de l'habitat. Les seuls intérêts à l'utilisation des surfaces agricoles comme zone privée d'agrément et l'implantation de petites constructions ne suffisent pas pour justifier la soustraction de terrains à la zone agricole, et cela même si ceux-ci ne sont pas des surfaces d'assolement mais des terres de qualité B1 (cf. à ce sujet d'ailleurs le préavis du SAgri du 4 janvier 2016). On peut également se référer sur un autre point au nouveau PDCant actuellement en consultation. Même si ce dernier n'est pas encore entré en force, il traduit néanmoins la volonté du planificateur cantonal. L'art. 15 al. 4 LAT prévoit d'ailleurs explicitement que la planification locale doit s'orienter sur le plan directeur cantonal (cf. HETTICH/MATHIS, n° 1.52). Afin de se conformer au principe de concentration et de recourir le moins possible aux surfaces agricoles tout en satisfaisant le besoin en logements, celui-ci ne permettra plus la création de zones résidentielles à faible densité. En effet, il prévoit la fixation d'une valeur d'indice brut d'utilisation du sol (IBUS) minimale de 1 ou des prescriptions normatives équivalentes. En d'autres termes, de nouvelles zones à bâtir destinées à la faible densité (par exemple pour des villas individuelles) ne pourront plus être planifiées. Or, la mesure ici contestée consiste précisément en l'agrandissement d'une telle zone. Partant, il ne peut être reproché à la DAEC d'avoir refusé l'approbation d'une mesure qui se heurte à la vision cantonale du développement territorial, laquelle se conforme d'ailleurs aux exigences du législateur fédéral. S'agissant du respect du principe de la proportionnalité, le refus d'approbation est ainsi une manière de réaliser les intérêts publics précédemment évoqués; quoi qu'en disent les recourants, il est ainsi apte à répondre aux exigences de planification et d'utilisation mesurée du sol. En construisant en limite de propriété, les recourants ont pris un risque en toute connaissance de</w:t>
      </w:r>
    </w:p>
    <w:p>
      <w:r>
        <w:t>Tribunal cantonal TC Page 13 de 13 cause et on ne saurait admettre l'existence de circonstances particulières qui justifieraient de les protéger. Quant au respect de l'autonomie communale, il va de soi que, sur le principe, une commune ne peut pas adopter des PAD permettant l'implantation de constructions en limite de zone et compter sur le fait qu'ultérieurement la zone sera étendue afin de créer des jardins. Si la commune a adopté un tel PAD, elle devait elle aussi être consciente du risque que comportait la fixation du périmètre d'implantation en limite de zone.</w:t>
      </w:r>
    </w:p>
    <w:p>
      <w:r>
        <w:rPr>
          <w:b/>
        </w:rPr>
        <w:t>E. 7</w:t>
      </w:r>
    </w:p>
    <w:p>
      <w:r>
        <w:t>a) Il résulte de ce qui précède que le recours doit être rejeté. b) 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la Cour arrête: I. Le recours est rejeté. II. Les frais de procédure, d'un montant de CHF 3'500.-, sont solidairement mis à la charge des recourants. Ils sont compensés par l'avance de frais versée. III.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31 janvier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