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58 vom 31. Januar 2018</w:t>
      </w:r>
    </w:p>
    <w:p>
      <w:r>
        <w:t>FR Kantonsgericht, 2018-01-31, FR</w:t>
      </w:r>
    </w:p>
    <w:p>
      <w:r>
        <w:rPr>
          <w:b/>
        </w:rPr>
        <w:t xml:space="preserve">Quelle: </w:t>
      </w:r>
      <w:r>
        <w:t>https://mcp.opencaselaw.ch/entscheid/fr_gerichte_602_2017_58</w:t>
      </w:r>
    </w:p>
    <w:p>
      <w:r>
        <w:t>FR: FR_GERICHTE 602 2017 58 du 31 janvier 2018</w:t>
      </w:r>
    </w:p>
    <w:p>
      <w:r>
        <w:t>IT: FR_GERICHTE 602 2017 58 del 31 gennaio 2018</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l'avance de frais ayant en outre été versée en temps utile, le recours est recevable en vertu des art. 79 ss et 114 al. 1 du code fribourgeois du 23 mai 1991 de procédure et de juridiction administrative (CPJA; RSF 150.1). Les membres de l'Hoirie A.________ sont propriétaires de la parcelle dont la mise en zone a été refusée, ce qui fonde un intérêt digne de protection et les autorise à saisir le Tribunal cantonal. Celui-ci peut dès lors entrer en matière sur les mérites du recours.</w:t>
      </w:r>
    </w:p>
    <w:p>
      <w:r>
        <w:t>Tribunal cantonal TC Page 4 de 13</w:t>
      </w:r>
    </w:p>
    <w:p>
      <w:r>
        <w:rPr>
          <w:b/>
        </w:rPr>
        <w:t>E. 2</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a) Les nouvelles dispositions de la LAT – entrées en vigueur le 1er mai 2014 – redéfinissent notamment le contenu des plans directeurs cantonaux (art. 8 et 8a LAT) et précisent les critères que doit remplir un terrain pour pouvoir être classé en zone à bâtir (art. 15 LAT). Les cantons doivent définir dans leurs plans directeurs la répartition des surfaces à bâtir et la coordination régionale. A titre transitoire, l'art.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b) L'art. 34 al. 1 de la loi fribourgeoise du 2 décembre 2008 sur l'aménagement du territoire et les constructions (LATeC; RSF 710.1)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Commentaire pratique LAT: planifier l'affectation, 2016, ad art. 15 n° 23; cf. HETTICH/MATHIS, in FHB Öffentliches Baurecht, 2016, n° 1.52).</w:t>
      </w:r>
    </w:p>
    <w:p>
      <w:r>
        <w:t>Tribunal cantonal TC Page 5 de 13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D'une part, dès lors que l'aménagement du territoire est un processus continu et que la détermination des différentes affectations implique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(ATF 132 II 408 consid. 4.2).</w:t>
      </w:r>
    </w:p>
    <w:p>
      <w:r>
        <w:rPr>
          <w:b/>
        </w:rPr>
        <w:t>E. 4</w:t>
      </w:r>
    </w:p>
    <w:p>
      <w:r>
        <w:t>Il importe de déterminer selon des critères rationnels l'implantation des constructions et installations publiques ou d'intérêt public. Il convient notamment:</w:t>
      </w:r>
    </w:p>
    <w:p>
      <w:r>
        <w:t>Tribunal cantonal TC Page 7 de 13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al. 4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ad art. 15 LAT p. 43 et les références citées). Cependant, il y a également lieu de tenir compte du développement supra- communal, régional, voire supra-régional (ATF 116 Ia 339 consid. 3b/aa; arrêt TF 1C_119/2007 du 13 novembre 2008 consid. 3.2.3, in ZBl 2009 I 315; art. 15 al. 3 LAT). La Haute Cour a considéré que le calcul des besoins en zone à bâtir ne pouvait pas uniquement se faire sur la base du plan directeur cantonal (PDCant) présumé désuet avec l'entrée en vigueur de la nouvelle LAT, mais qu'il nécessitait notamment un examen concret supra-communal, voire régional (cf. ATF 141 II 393 consid. 3; arrêt TF 1C_15/2013 du 9 août 2013 consid. 2.3.2). d) Pour déterminer la zone à bâtir d'une commune, il y a dès lors lieu de tenir compte en particulier des principes suivants, principes dont la signification a été renforcée avec la révision de la LAT de 2014 et qui se reflètent également dans le nouveau PDCant tel qu'il a été mis en consultation publique le 10 novembre 2017.</w:t>
      </w:r>
    </w:p>
    <w:p>
      <w:r>
        <w:t>Tribunal cantonal TC Page 8 de 13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ad art. 15 LAT n° 56).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(AEMISEGGER/KISSLING, ad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ad art. 15 LAT n° 73). Le principe du développement durable (cf. consid. 4a ci-dessus)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p. 226).</w:t>
      </w:r>
    </w:p>
    <w:p>
      <w:r>
        <w:rPr>
          <w:b/>
        </w:rPr>
        <w:t>E. 5</w:t>
      </w:r>
    </w:p>
    <w:p>
      <w:r>
        <w:t>Pour le canton de Fribourg, à l'horizon 2032, le nombre d'habitants et d'emplois à accueillir dans les zones de centre, résidentielles et mixtes sera de 409'706, alors que les zones actuellement légalisées permettent l'accueil de 366'966 habitants. Les zones destinées à l'habitat actuellement légalisées ne suffiront donc pas à absorber la croissance attendue. Cet état de fait a</w:t>
      </w:r>
    </w:p>
    <w:p>
      <w:r>
        <w:t>Tribunal cantonal TC Page 9 de 13 été validé par l'Office fédéral du développement territorial (cf. B. Volet stratégique, Nouveau PDCant, p. 7). Le PDCant présenté en novembre 2017 – prévu pour adoption par le Conseil d'Etat en octobre 2018 et pour approbation par la Confédération en mai 2019 – tient compte de ce constat et prévoit que des extensions pourront être étudiées à l'intérieur du territoire d'urbanisation. Celles-ci ne seront toutefois admises qu'avec une densité correspondant à une utilisation optimale. Le nouveau PDCant interdit en conséquence des nouvelles zones à bâtir destinées à la faible densité, par exemple pour des villas individuelles. De telles zones ne pourront plus être planifiées. Par ailleurs, la représentation du territoire d'urbanisation sur la carte de synthèse du nouveau PDCant permet d'identifier les secteurs où le canton juge que les extensions de zones à bâtir sont importantes même si elles se situent sur des surfaces d'assolement. D'après le nouveau PDCant, la Commune de I.________ se retrouve, en partie du moins, dans l'espace périurbain, c'est-à-dire qu'elle est considérée comme une commune d'agglomération selon l'Office fédéral de la statistique, mais située hors du centre cantonal et des centres régionaux (cf. B. Volet stratégique, Nouveau PDCant, p. 11). En outre, le schéma stratégique (cf. B. Volet stratégique, Nouveau PDCant, p. 23) définit les priorités de développement comme suit: " Agglomérations (priorité 1): Croissance prioritaire Centres régionaux (priorité 2): Croissance prioritaire Tissu urbain hors-centres (priorité 3): Croissance stable Tissu périurbain et villageois (priorité 4): Croissance modérée Tissu touristique (priorité 4): Développement adapté Espace rural: Préservation des bonnes terres agricoles".</w:t>
      </w:r>
    </w:p>
    <w:p>
      <w:r>
        <w:rPr>
          <w:b/>
        </w:rPr>
        <w:t>E. 6</w:t>
      </w:r>
    </w:p>
    <w:p>
      <w:r>
        <w:t>En ce qui concerne le litige concret relatif à la planification de la Commune de I.________, il n'est pas contesté que l'ensemble de la zone à bâtir de cette dernière n'a pas connu d'agrandissement et que, sur le principe, les dispositions transitoires de la nouvelle LAT ne sont pas enfreintes quant à cet aspect. En effet, selon le rapport de synthèse du SeCA du 19 janvier 2017, la mise en conformité avec la LAT et les moratoires a imposé une adaptation du plan d'affectation des zones. Le bilan final fait état d'une surface mise en zone à bâtir de 34'444 m2 et d'un retour à la zone agricole de 35'563 m2. Ceci donne un solde positif de 1'119 m2 en faveur de la zone agricole. Cela étant, ce constat ne suffit pas pour garantir que la mise en zone litigieuse répond aux exigences de la nouvelle LAT. Il y a d'emblée lieu de souligner que le rôle du planificateur cantonal a été renforcé, depuis l'entrée en vigueur de la nouvelle LAT au 1er mai 2014, notamment par son obligation de veiller à la préservation des terres agricoles et de définir une stratégie de planification respectueuse d'un usage économe du sol, dans le sens d'un développement durable (art. 8 et art. 8a LAT). Cela implique non seulement la protection des surfaces d'assolement, mais également la préservation d'un paysage libre de constructions. Le canton accomplira cette tâche par le biais du nouveau PDCant. Dans ce contexte, on doit relever que le Tribunal fédéral a jugé l'ancien PDCant obsolète (cf. ATF 141 II 393 consid. 3; arrêt TF 1C_15/2013 du 9 août 2013 consid. 2.3.2). En conséquence, s'agissant de sa propre planification, la commune voit son autonomie limitée par les principes régissant la nouvelle LAT ainsi que par la stratégie de développement définie dans le nouveau PDCant mis en consultation publique. En ce qui concerne la période transitoire, le Tribunal cantonal a d'ailleurs déjà eu l'occasion de souligner, notamment, l'importance du</w:t>
      </w:r>
    </w:p>
    <w:p>
      <w:r>
        <w:t>Tribunal cantonal TC Page 10 de 13 renforcement de l'obligation de procéder à des planifications qui tiennent compte d'un examen supra-communal, voire régional, ainsi que de l'obligation de concentrer le développement dans des endroits déjà construits (cf. arrêt TC FR 602 2014 122 du 5 décembre 2016). De plus, l'examen supra-communal, ancré également dans le nouvel art. 15 al. 3 LAT – directement applicable depuis le 1er mai 2014 –, concerne non seulement l'aspect du dimensionnement, mais également l'endroit où se situe une nouvelle mise en zone. Autrement dit, les agrandissements de zones ne devront plus se faire individuellement pour chaque commune, mais être concentrés à l'endroit où le canton les juge nécessaires. Ces réflexions reposent sur le constat que les frontières du territoire communal ne constituent pas un critère adéquat et pertinent pour la planification de l'aménagement (cf. HETTICH/MATHIS, n° 1.53; FF 2010 959, 981 s.; THURNHERR, Überprüfung und Redimensionierung bestehender Bauzonen, in Révision 2014 de la loi sur l'aménagement du territoire - Faire du neuf avec du vieux?, 2015, p. 232; cf. également, pour cet aspect, GRIFFEL, p. 19 s.; AEMISEGGER/KISSLING, ad art. 15 LAT n° 70 s.). En l'occurrence, la motivation du recours repose en grande partie sur la prémisse que la Commune de I.________ peut prétendre au développement de sa zone résidentielle à faible densité. Les recourants soulignent à ce propos qu'au vu des contraintes générales (bruit, SDA, protection de la nature et du paysage, ISOS, etc.), l'article lll RF constitue une des seules possibilités de mise en zone. Or, toute nouvelle mise en zone doit en principe se conformer d'abord au plan de développement stratégique adopté par le canton et au principe de concentration. Dans ce contexte, on rappelle qu'intégrée au périmètre périurbain selon le nouveau PDCant en raison de sa localisation géographique, la Commune de I.________ est davantage touchée par les mesures de préservation des surfaces agricoles et de la nature et des paysages que par les mesures d'urbanisation, notamment de densification stratégique. En effet, selon le nouveau PDCant, la priorisation de développement ne se situe qu'en quatrième position pour cette commune. On peine dès lors à comprendre la justification et la nécessité d'un développement en bordure extérieure d'une zone constructible dans un village périphérique, isolée du centre urbain. En cela, la nouvelle planification se heurte, comme le soutient la DAEC, aux principes de l'aménagement du territoire, dans la mesure où celle-ci ne devra pas prioritairement avoir lieu à cet endroit du territoire cantonal. Cela a pour conséquence que, même si différentes raisons empêchent des mises en zone à d'autres endroits du territoire, il n'en résulte pas l'obligation pour la DAEC d'approuver la modification proposée. Il en découle également que le grief selon lequel l'autorité cantonale n'aurait pas fait une pondération suffisante des intérêts et qu'elle n'aurait pas tenu compte des contraintes liées au bruit, à la protection du paysage ou des sites ISOS, etc, doit également être rejeté. La véritable question qui se pose à titre liminaire est celle de savoir si la commune a le droit de mettre en zone des terrains en périphérie pour y implanter des villas individuelles et non celle de savoir si d'autres terrains auraient également pu être intégrés à la zone à bâtir. A cela s'ajoute que la nouvelle LAT préconise clairement une orientation du développement de l'urbanisation vers l'intérieur du milieu bâti ainsi que la création d'un milieu bâti compact (art. 1 al. 2 let. abis et b LAT). Le but de la nouvelle formulation de l'art. 15 LAT est de limiter l'urbanisation vers l'extérieur (AEMISEGGER/KISSLING, ad art. 15 LAT n° 8). Cela ne signifie pas seulement – comme semblent le comprendre les recourants – que des nouvelles mises en zone doivent se faire à l'endroit où les constructions sont déjà existantes, mais il faut de plus, avant de procéder à des</w:t>
      </w:r>
    </w:p>
    <w:p>
      <w:r>
        <w:t>Tribunal cantonal TC Page 11 de 13 nouvelles emprises sur des surfaces encore non construites, vérifier si une utilisation plus rationnelle du sol à l'intérieur des zones existantes est possible. A l'évidence, cet aspect ne saurait être établi sans tenir compte des communes voisines, cas échéant, des possibilités dans le centre urbain de N.________ et ses environs. En l'espèce, l'analyse supra-communale, voire régionale, ne ressort pas d'une manière suffisamment circonstanciée du rapport de conformité. En effet, selon ce document, l'analyse se contente de mentionner le nom des communes voisines qui envisagent de modifier la planification (cf. ch. 1.5). Il est ensuite indiqué – sans aucun détail – que "le plan d'aménagement local tient compte des PAL respectifs des communes voisines" (ch. 2.2). En ce qui concerne la concentration à l'intérieur du bâti, il est relevé qu'"une réflexion approfondie a également été menée dans le but d'augmenter la densité du cadre bâti et de limiter l'extension de l'urbanisation" (ch. 2.1) ou encore que "les mises en zone à bâtir tendent à densifier le tissu existant" (ch. 2). Sous le chapitre 3 qui concrétise les mesures, il est expliqué (ch. 3.1) que de nombreuses modifications comprises sous ce chapitre ont pour objectif de viser une densification du tissu construit et une mixité de l'habitat. Il s'agit principalement de mises en zone résidentielle à faible densité et à densité répartie, d'affectations en zone de protection du site construit, en zone de centre ou de retour en zone agricole. La Cour de céans constate que certaines des mesures augmentent les possibilités de construire ou concernent des surfaces affectées à l'urbanisation de moyenne densité. Toutefois, les modifications proposées – dont celle contestée – consistent en grande partie en des mises en zone et, de surcroît, en des mises en zone résidentielle à faible densité. Il ne ressort pas que la commune ait procédé à une véritable analyse des possibilités quant à l'absorption du besoin futur en logements dans les terrains déjà en zone, ni dans ceux de la commune ni dans ceux de la région. Le Tribunal ne peut que constater que la commune semble s'être contentée de simples affirmations générales, insuffisantes pour répondre aux questions qui se posent dans le cadre d'un examen supra-communal et de concentration des densifications (cf. à ce sujet AEMISEGGER/KISSLING, ad art. 15 LAT n° 54; FLÜCKIGER/GRODECKI, Commentaire LAT, ad art. 15 n° 114). En l'espèce, le plan tel que reproduit ci-dessus (cf. faits lettre B) met en évidence que la parcelle article lll RF se situe en périphérie du village de I.________ et qu'elle contribue ainsi à un étalement de la zone à bâtir en marge des secteurs construits et au détriment d'espaces encore préservés. Ainsi que le soutient la DAEC, la localisation de ces mises en zone ne correspond pas aux principes de la LAT, et ce même si ces terrains ne sont pas touchés par la protection supplémentaire dont bénéficient les terres d'assolement. En outre, il convient de se référer sur un autre point au nouveau PDCant actuellement en consultation. Même si ce dernier n'est pas encore entré en force, il traduit néanmoins la volonté du planificateur cantonal. L'art. 15 al. 4 LAT prévoit d'ailleurs explicitement que la planification locale doit s'orienter sur le plan directeur cantonal (cf. HETTICH/MATHIS, n° 1.52). Afin de se conformer au principe de concentration et de recourir le moins possible aux surfaces agricoles tout en satisfaisant le besoin en logements, celui-ci ne permettra plus la création de zones résidentielles à faible densité. En effet, il prévoit la fixation d'une valeur d'indice brut d'utilisation du sol (IBUS) minimale de 1 ou des prescriptions normatives équivalentes. En d'autres termes, de nouvelles zones à bâtir destinées à la faible densité (par exemple pour des villas individuelles) ne pourront plus être planifiées. Or, la mesure ici contestée prévoit précisément le développement d'une telle zone. Le nouveau RCU fixe, dans ses art. 24 à 26, des IBUS pour les zones résidentielles à faible</w:t>
      </w:r>
    </w:p>
    <w:p>
      <w:r>
        <w:t>Tribunal cantonal TC Page 12 de 13 densité de 0,50 ou 0,60, ce qui va clairement à l'encontre de la volonté du canton de ne plus étaler désormais la surface construite au profit de zones de villas. Partant, il ne peut être reproché à la DAEC d'avoir refusé l'approbation d'une mesure qui se heurte à la vision cantonale du développement territorial, laquelle se conforme d'ailleurs aux exigences du législateur fédéral. S'agissant du respect du principe de la proportionnalité, le refus d'approbation est ainsi une manière de réaliser les intérêts publics précédemment évoqués; quoi qu'en disent les recourants, il est ainsi apte à répondre aux exigences de planification et d'utilisation mesurée du sol. C'est en vain également que les recourants invoquent une violation de la garantie de la propriété. La détermination de l'affectation des zones en exécution du mandat du planificateur consiste en une limitation légitime du droit constitutionnel de la garantie de la propriété, qui en principe ne fonde aucun dédommagement (ATF 105 Ia 330 consid. 3c; cf. HETTICH/MATHIS, n° 1.25). En effet, les restrictions à la propriété sont compatibles avec la Constitution fédérale si elles reposent sur une base légale, sont justifiées par un intérêt public suffisant et respectent le principe de la proportionnalité (art. 26 et 36 al. 1 à 3 Cst.; ATF 126 I 219 consid. 2a et 2c). Or, en l'espèce, l'intérêt public à l'utilisation rationnelle du sol est manifeste et la décision querellée tient compte des principes ancrés dans les législations fédérale et cantonale. Dès lors que la non-approbation de la mesure de planification ici litigieuse poursuit les buts et principes d'aménagement définis par la LAT, qu'elle repose sur un intérêt public et qu'elle n'est pas disproportionnée, celle-ci ne viole manifestement pas la garantie de la propriété. Enfin, les recourants invoquent une violation du principe de l'égalité de traitement, dans la mesure où la DAEC a admis deux autres modifications (n° 14 et n° 21) consistant également en des mises en zone à bâtir.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129 I 113 consid. 5.1, 346 consid. 6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et les arrêts cités). En l'occurrence, en ce qui concerne la modification n° 14, il ne s'agit pas d'une nouvelle mise en zone à bâtir, mais d'un changement d'affectation de la zone d'intérêt général à la zone résidentielle à faible densité I avec prescriptions particulières. Or, les parcelles concernées sont situées au milieu de la zone résidentielle à faible densité (excepté le côté de l'article ooo attenant à l'article ppp RF) et sont relativement proches du centre du village. Quant à la modification n° 21, elle prévoit la mise en zone résidentielle à densité répartie avec PAD obligatoire d'une surface de 9'569 m2. Malgré l'avis circonstancié contraire du SeCA, la DAEC a certes considéré que cette modification (y compris la n° 20) répondait sur le principe aux buts et principes de l'aménagement du territoire. Cela étant, elle a toutefois reporté sa décision sur cette modification afin que la commune puisse vérifier l'opportunité de cette mise en zone conformément à l'ordonnance sur le bruit. Partant, cette modification n'a pas encore été approuvée. Mis à part ce fait, la réglementation de la zone en question prévoit une utilisation du sol plus élevée (IBUS de 0.80) que celle prévue pour la zone résidentielle à faible densité I (IBUS de 0.50), ce qui peut justifier à elle-seule une différence de traitement. Compte tenu de ce qui vient d'être exposé, on peut néanmoins se demander pour</w:t>
      </w:r>
    </w:p>
    <w:p>
      <w:r>
        <w:t>Tribunal cantonal TC Page 13 de 13 quelles raisons la DAEC envisage d'approuver une telle modification. Dans ces circonstances, le Tribunal ne saurait d'autant moins admettre la mise en zone ici contestée au motif de l'égalité de traitement. Aussi, les situations évoquées par les recourants sont donc différentes du cas d'espèce et ceux-ci ne peuvent rien en déduire dans le sens de leurs conclusions.</w:t>
      </w:r>
    </w:p>
    <w:p>
      <w:r>
        <w:rPr>
          <w:b/>
        </w:rPr>
        <w:t>E. 7</w:t>
      </w:r>
    </w:p>
    <w:p>
      <w:r>
        <w:t>Les recourants requièrent enfin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leiux est inutile dans le cas d'espèce, dès lors que les pièces versées au dossier permettent parfaitement de comprendre l'emplacement de la parcelle concernée.</w:t>
      </w:r>
    </w:p>
    <w:p>
      <w:r>
        <w:rPr>
          <w:b/>
        </w:rPr>
        <w:t>E. 8</w:t>
      </w:r>
    </w:p>
    <w:p>
      <w:r>
        <w:t>a) Il résulte de ce qui précède que le recours doit être rejeté. b) 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I. Le recours est rejeté. II. Les frais de procédure, d'un montant de CHF 3'500.-, sont solidairement mis à la charge des recourants.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31 janvier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