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55 vom 22. August 2016</w:t>
      </w:r>
    </w:p>
    <w:p>
      <w:r>
        <w:t>FR Kantonsgericht, 2016-08-22, FR</w:t>
      </w:r>
    </w:p>
    <w:p>
      <w:r>
        <w:rPr>
          <w:b/>
        </w:rPr>
        <w:t xml:space="preserve">Quelle: </w:t>
      </w:r>
      <w:r>
        <w:t>https://mcp.opencaselaw.ch/entscheid/fr_gerichte_602_2016_55</w:t>
      </w:r>
    </w:p>
    <w:p>
      <w:r>
        <w:t>FR: FR_GERICHTE 602 2016 55 du 22 août 2016</w:t>
      </w:r>
    </w:p>
    <w:p>
      <w:r>
        <w:t>IT: FR_GERICHTE 602 2016 55 del 22 agosto 2016</w:t>
      </w:r>
    </w:p>
    <w:p>
      <w:pPr>
        <w:pStyle w:val="Heading2"/>
      </w:pPr>
      <w:r>
        <w:t>Regeste</w:t>
      </w:r>
    </w:p>
    <w:p>
      <w:r>
        <w:t>Arrêt de la IIe Cour administrative du Tribunal cantonal | Raumplanung und Bauwesen</w:t>
      </w:r>
    </w:p>
    <w:p>
      <w:pPr>
        <w:pStyle w:val="Heading2"/>
      </w:pPr>
      <w:r>
        <w:t>Erwägungen</w:t>
      </w:r>
    </w:p>
    <w:p>
      <w:r>
        <w:rPr>
          <w:b/>
        </w:rPr>
        <w:t>E. 15</w:t>
      </w:r>
    </w:p>
    <w:p>
      <w:r>
        <w:t>juillet 2016, qui remplace et annule celui du 23 juillet 2015. II. Il n'est pas perçu de frais de procédure, ni alloué d'indemnité de partie. L'avance de frais de CHF 1'000.- effectuée par le recourant lui est restituée. III. Communication. Cette décision peut faire l'objet d'un recours auprès du Tribunal fédéral, à Lausanne, dans les 30 jours dès sa notification. Fribourg, le 22 août 2016/cpf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