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111 vom 13. September 2018</w:t>
      </w:r>
    </w:p>
    <w:p>
      <w:r>
        <w:t>FR Kantonsgericht, 2018-09-13, FR</w:t>
      </w:r>
    </w:p>
    <w:p>
      <w:r>
        <w:rPr>
          <w:b/>
        </w:rPr>
        <w:t xml:space="preserve">Quelle: </w:t>
      </w:r>
      <w:r>
        <w:t>https://mcp.opencaselaw.ch/entscheid/fr_gerichte_602_2016_111</w:t>
      </w:r>
    </w:p>
    <w:p>
      <w:r>
        <w:t>FR: FR_GERICHTE 602 2016 111 du 13 septembre 2018</w:t>
      </w:r>
    </w:p>
    <w:p>
      <w:r>
        <w:t>IT: FR_GERICHTE 602 2016 111 del 13 settembre 2018</w:t>
      </w:r>
    </w:p>
    <w:p>
      <w:pPr>
        <w:pStyle w:val="Heading2"/>
      </w:pPr>
      <w:r>
        <w:t>Regeste</w:t>
      </w:r>
    </w:p>
    <w:p>
      <w:r>
        <w:t>Arrêt de la IIe Cour administrative du Tribunal cantonal | Raumplanung und Bauwesen</w:t>
      </w:r>
    </w:p>
    <w:p>
      <w:pPr>
        <w:pStyle w:val="Heading2"/>
      </w:pPr>
      <w:r>
        <w:t>Erwägungen</w:t>
      </w:r>
    </w:p>
    <w:p>
      <w:r>
        <w:rPr>
          <w:b/>
        </w:rPr>
        <w:t>E. 7</w:t>
      </w:r>
    </w:p>
    <w:p>
      <w:r>
        <w:t>Entièrement mal fondé, le recours doit ainsi être rejeté. Il appartient aux recourants qui succombent de supporter les frais de procédure en application de l'art. 131 CPJA. Pour le même motif, il leur incombe de verser une indemnité de partie à l'intimée qui a fait appel aux services d'un avocat pour défendre ses intérêts (art. 137 CPJA). Dite indemnité est, selon la loi, limitée aux frais nécessaires à la défense des intérêts menacés. En l'occurrence, l'activité déployée par le mandataire de l'intimée (plus de 40 heures) doit être considérée comme disproportionnée par rapport aux nécessités d'une défense efficace. Il se justifie dès lors de réduire l'indemnité de partie à CHF 5'000.-, débours et TVA compris. (dispositif en page suivante)</w:t>
      </w:r>
    </w:p>
    <w:p>
      <w:r>
        <w:t>Tribunal cantonal TC Page 11 de 11 la Cour arrête: I. Le recours est rejeté. Partant, les décisions de la Direction de l'aménagement, de l'environnement et des constructions du 8 juillet 2016 sont confirmées. II. Les frais de procédure, fixés à CHF 2'500.-, sont mis à la charge des recourants. Ils sont prélevés sur l'avance de frais effectuée. III. Un montant de CHF 5'000.- (TVA comprise) à verser à Me Christophe Claude Maillard à titre d'indemnité de partie est mis à la charge des recourants. IV. Notification.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13 septembre 2018/cpf/mlo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