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100 vom 7. Februar 2017</w:t>
      </w:r>
    </w:p>
    <w:p>
      <w:r>
        <w:t>FR Kantonsgericht, 2017-02-07, DE</w:t>
      </w:r>
    </w:p>
    <w:p>
      <w:r>
        <w:rPr>
          <w:b/>
        </w:rPr>
        <w:t xml:space="preserve">Quelle: </w:t>
      </w:r>
      <w:r>
        <w:t>https://mcp.opencaselaw.ch/entscheid/fr_gerichte_602_2016_100</w:t>
      </w:r>
    </w:p>
    <w:p>
      <w:r>
        <w:t>FR: FR_GERICHTE 602 2016 100 du 7 février 2017</w:t>
      </w:r>
    </w:p>
    <w:p>
      <w:r>
        <w:t>IT: FR_GERICHTE 602 2016 100 del 7 febbraio 2017</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w:t>
      </w:r>
    </w:p>
    <w:p>
      <w:r>
        <w:rPr>
          <w:b/>
        </w:rPr>
        <w:t>E. 3</w:t>
      </w:r>
    </w:p>
    <w:p>
      <w:r>
        <w:t>Die Gerichtskosten von CHF 1‘000.- sind dem Verfahrensausgang entsprechend dem Beschwerdeführer aufzuerlegen (Art. 131 Abs. 1 VRG; Art. 1 und 2 des kantonalen Tarifs vom 17. Dezember 1991 der Verfahrenskosten und Entschädigungen in der Verwaltungsjustiz [TarifVJ; SGF 150.12]). Der Saldo von CHF 1‘500.- ist dem Beschwerdeführer zurückzuerstatten.</w:t>
      </w:r>
    </w:p>
    <w:p>
      <w:r>
        <w:rPr>
          <w:b/>
        </w:rPr>
        <w:t>E. 4</w:t>
      </w:r>
    </w:p>
    <w:p>
      <w:r>
        <w:t>Es ist keine Parteientschädigung geschuldet (Art. 137 VRG). Der Hof erkennt: I. Auf die Beschwerde wird nicht eingetreten. II. Die Gerichtskosten von CHF 1‘000.- werden dem Beschwerdeführer auferlegt und mit dem geleisteten Kostenvorschuss verrechnet. Der Saldo von CHF 1‘500.- wird dem Beschwerdeführer zurückerstattet. III. Eine Parteientschädigung wird nicht ausgerichtet.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7. Februar 2017/dgr/ese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