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2025 74 vom 25. September 2025</w:t>
      </w:r>
    </w:p>
    <w:p>
      <w:r>
        <w:t>FR Kantonsgericht, 2025-09-25, DE</w:t>
      </w:r>
    </w:p>
    <w:p>
      <w:r>
        <w:rPr>
          <w:b/>
        </w:rPr>
        <w:t xml:space="preserve">Quelle: </w:t>
      </w:r>
      <w:r>
        <w:t>https://mcp.opencaselaw.ch/entscheid/fr_gerichte_601_2025_74</w:t>
      </w:r>
    </w:p>
    <w:p>
      <w:r>
        <w:t>FR: FR_GERICHTE 601 2025 74 du 25 septembre 2025</w:t>
      </w:r>
    </w:p>
    <w:p>
      <w:r>
        <w:t>IT: FR_GERICHTE 601 2025 74 del 25 settembre 2025</w:t>
      </w:r>
    </w:p>
    <w:p>
      <w:pPr>
        <w:pStyle w:val="Heading2"/>
      </w:pPr>
      <w:r>
        <w:t>Regeste</w:t>
      </w:r>
    </w:p>
    <w:p>
      <w:r>
        <w:t>Urteil des I. Verwaltungsgerichtshofes des Kantonsgerichts | Bürgerrecht, Niederlassung, Aufenthalt</w:t>
      </w:r>
    </w:p>
    <w:p>
      <w:pPr>
        <w:pStyle w:val="Heading2"/>
      </w:pPr>
      <w:r>
        <w:t>Erwägungen</w:t>
      </w:r>
    </w:p>
    <w:p>
      <w:r>
        <w:rPr>
          <w:b/>
        </w:rPr>
        <w:t>E. 1</w:t>
      </w:r>
    </w:p>
    <w:p>
      <w:r>
        <w:t>Das Kantonsgericht ist zur Beurteilung der vorliegenden Beschwerde zuständig (Art. 114 Abs. 1 Bst. a des kantonalen Gesetzes vom 23. Mai 1991 über die Verwaltungsrechtspflege [VRG; SGF 150.1] in Verbindung mit Art. 7 Abs. 2 des kantonalen Ausführungsgesetzes vom 13. November 2007 zum Bundesgesetz über die Ausländerinnen und Ausländer und über die Integration [AGAIG; SGF 114.22.1]). Die Beschwerdeführer sind zur Ergreifung des Rechtsmittels legitimiert (Art. 76 VRG). Die Beschwerdefrist wurde eingehalten (Art. 79 Abs. 1 VRG). Auch wurde der Kostenvorschuss rechtzeitig bezahlt (Art. 128 VRG). Auf die Beschwerde ist daher einzutreten.</w:t>
      </w:r>
    </w:p>
    <w:p>
      <w:r>
        <w:rPr>
          <w:b/>
        </w:rPr>
        <w:t>E. 2</w:t>
      </w:r>
    </w:p>
    <w:p>
      <w:r>
        <w:t>Mit der Beschwerde an das Kantonsgericht können die Verletzung des Rechts einschliesslich Überschreitung oder Missbrauch des Ermessens sowie die unrichtige oder unvollständige Feststellung des rechtserheblichen Sachverhalts gerügt werden (Art. 77 VRG). Die Rüge der Unangemessenheit ist ausgeschlossen (Art. 78 Abs. 2 VRG).</w:t>
      </w:r>
    </w:p>
    <w:p>
      <w:r>
        <w:rPr>
          <w:b/>
        </w:rPr>
        <w:t>E. 3</w:t>
      </w:r>
    </w:p>
    <w:p>
      <w:r>
        <w:t>In formeller Hinsicht rügen die Beschwerdeführer eine Verletzung des rechtlichen Gehörs. Zum einen habe es die Vorinstanz unterlassen, ihnen die Argumente, auf welche sie sich im angefochtenen Entscheid stützt, vorgängig mitzuteilen. Ihnen sei es somit nicht möglich gewesen, angemessen Stellung zu beziehen. Zum andern habe die Vorinstanz ihre Begründungspflicht verletzt, indem sie sowohl in ihrer Absichtserklärung als auch in der darauffolgenden Verfügung kaum auf die eingebrachten Argumente eingegangen sei und ihren Entscheid unzureichend begründet habe. Konkret habe sie die Interessen an einem Verbleib in der Schweiz unzureichend gewürdigt und keine Prüfung der Verhältnismässigkeit vorgenommen.</w:t>
      </w:r>
    </w:p>
    <w:p>
      <w:r>
        <w:rPr>
          <w:b/>
        </w:rPr>
        <w:t>E. 3.1</w:t>
      </w:r>
    </w:p>
    <w:p>
      <w:r>
        <w:t>Der Anspruch auf rechtliches Gehör gemäss Art. 29 Abs. 2 BV beinhaltet insbesondere auch das Recht des Betroffenen, sich vor Erlass eines in seine Rechtsstellung eingreifenden Entscheides zur Sache äussern zu können und an der Erhebung wesentlicher Beweise entweder mitwirken oder sich zumindest zum Beweisergebnis äussern zu können, wenn dieses geeignet ist, den Entscheid zu beeinflussen (BGE 142 I 86 E. 2.2; 135 I 187 E. 2.2). Der Anspruch auf rechtliches Gehör bezieht sich in erster Linie auf Tatsachen. Die Parteien müssen gegebenenfalls auch zu Rechtsfragen angehört werden, wenn die betroffene Behörde sich auf gesetzliche Vorschriften stützen möchte, die von den Parteien vernünftigerweise nicht vorausgesehen werden können, wenn die Rechtslage sich geändert hat oder wenn ein besonders weiter Ermessensspielraum besteht (BGE 132 II 485 E. 3.2; 132 II 257 E. 4.2). Der Anspruch auf rechtliches Gehör verlangt jedoch nicht, dass die verfahrensbeteiligte Partei die Gelegenheit erhalten muss, sich zu jedem möglichen Ergebnis, das</w:t>
      </w:r>
    </w:p>
    <w:p>
      <w:r>
        <w:t>Kantonsgericht KG Seite 4 von 10 von der Behörde ins Auge gefasst wird, zu äussern. Die Behörde muss ihre Begründung den Parteien nicht vorweg zur Stellungnahme unterbreiten. Es genügt, dass sich die Parteien zu den Grundlagen des Entscheids, insbesondere zum Sachverhalt sowie zu den anwendbaren Rechtsnormen, vorweg äussern und ihre Standpunkte einbringen können (BGE 132 II 257 E. 4.2; 132 II 485 E. 3.4; 129 II 497 E. 2.2). Ein weitergehender Anspruch auf vorgängige Mitteilung der exakten juristischen Begründung kommt den Beschwerdeführern auch unter Berücksichtigung der behördlichen Aufklärungspflicht im Ausländerrecht (vgl. hierzu Urteile BGer 2C_58/2017 vom 23. Juni 2017; KG FR 601 2024 31 vom 6. November 2024 E. 4.1) nicht zu.</w:t>
      </w:r>
    </w:p>
    <w:p>
      <w:r>
        <w:rPr>
          <w:b/>
        </w:rPr>
        <w:t>E. 3.2</w:t>
      </w:r>
    </w:p>
    <w:p>
      <w:r>
        <w:t>Die Vorinstanz wies die Beschwerdeführer mit Schreiben vom 30. Oktober 2024 darauf hin, dass die Voraussetzungen zum Erhalt einer Aufenthaltsbewilligung insbesondere aufgrund der Vorstrafen nicht erfüllt seien; der Beschwerdeführer stelle gestützt auf Art. 51 Abs. 2 Bst. b AIG und Art. 63 AIG eine Gefahr für die öffentliche Sicherheit und Ordnung dar, weshalb sie beabsichtige, das Gesuch abzulehnen. Im angefochtenen Entscheid griff die Vorinstanz im Wesentlichen auf dieselbe Begründung zurück. Den Beschwerdeführern kann daher offensichtlich nicht gefolgt werden, wenn sie vorbringen, sie hätten zu den Verweigerungsgründen keine Stellung beziehen können.</w:t>
      </w:r>
    </w:p>
    <w:p>
      <w:r>
        <w:rPr>
          <w:b/>
        </w:rPr>
        <w:t>E. 3.3</w:t>
      </w:r>
    </w:p>
    <w:p>
      <w:r>
        <w:t>Aus dem Anspruch auf rechtliches Gehör nach Art. 29 Abs. 2 BV fliesst sodann das Recht der von einem Entscheid in ihrer Rechtsstellung betroffenen Person, dass die Behörde die Vorbringen auch tatsächlich hört, prüft und in der Entscheidfindung berücksichtigt. Entsprechend ist die Behörde verpflichtet, ihren Entscheid zu begründen. Dabei muss sie sich nicht mit allen Parteistandpunkten einlässlich auseinandersetzen; die Begründung darf sich auf jene Aspekte beschränken, welche die Behörde willkürfrei als wesentlich betrachtet. Der Begründungspflicht ist Genüge getan, wenn sich der Betroffene über die Tragweite des Entscheids Rechenschaft geben und ihn in voller Kenntnis der Sache an die höhere Instanz weiterziehen kann (BGE 136 I 229 E. 5.2; 150 III 1 E. 4.5).</w:t>
      </w:r>
    </w:p>
    <w:p>
      <w:r>
        <w:rPr>
          <w:b/>
        </w:rPr>
        <w:t>E. 3.4</w:t>
      </w:r>
    </w:p>
    <w:p>
      <w:r>
        <w:t>Die Vorinstanz begründete den angefochtenen Entscheid namentlich damit, dass aufgrund der Vorstrafen des Beschwerdeführers insgesamt nicht von einer gelungenen Integration gesprochen werden könne und weiterhin eine Gefahr für die öffentliche Sicherheit und Ordnung bestehe. Das öffentliche Interesse an der Wahrung der Sicherheit überwiege das private Interesse der Beschwerdeführer an einem gemeinsamen Leben in der Schweiz. Diese Begründung zeigt die Entscheidfindung und die zugrungeliegenden Erwägungen rechtsgenüglich auf. Auch nahm die Vorinstanz damit entgegen der Ansicht der Beschwerdeführer eine Verhältnismässigkeitsprüfung vor. Den Beschwerdeführern ist es denn auch ohne Weiteres gelungen, den Entscheid sachgerecht anzufechten. Der angefochtene Entscheid genügt damit den Anforderungen an die Begründungspflicht, und die Rüge, wonach der Anspruch auf rechtliches Gehör verletzt worden sei, erweist sich als unbegründet.</w:t>
      </w:r>
    </w:p>
    <w:p>
      <w:r>
        <w:rPr>
          <w:b/>
        </w:rPr>
        <w:t>E. 4.1</w:t>
      </w:r>
    </w:p>
    <w:p>
      <w:r>
        <w:t>Die Vorinstanz erblickte insbesondere in der Straffälligkeit des Beschwerdeführers ein überwiegendes öffentliches Interesse, ihm das Aufenthaltsrecht in der Schweiz zu verweigern. Die Dauer der Freiheitsstrafe sowie die Höhe der Busse würden auf ein schweres Verschulden hinweisen. Bei der Interessensabwägung falle insbesondere auch die Art der Straftaten, namentlich jene gegen die sexuelle Integrität, die Freiheit sowie die körperliche und psychische Integrität ins Gewicht. Zudem habe er das verhängte Einreiseverbot missachtet. In ihrer Stellungnahme vom 12. Juni 2025 führt die Vorinstanz ergänzend aus, dass der Beschwerdeführer in seiner Beschwerde</w:t>
      </w:r>
    </w:p>
    <w:p>
      <w:r>
        <w:t>Kantonsgericht KG Seite 5 von 10 keinerlei Reue hinsichtlich seiner Straftaten zeige und sich während der Haft nicht einwandfrei verhalten habe. Insgesamt könne nicht von einer gelungenen Integration gesprochen werden.</w:t>
      </w:r>
    </w:p>
    <w:p>
      <w:r>
        <w:rPr>
          <w:b/>
        </w:rPr>
        <w:t>E. 4.2</w:t>
      </w:r>
    </w:p>
    <w:p>
      <w:r>
        <w:t>Die Beschwerdeführer halten dem entgegen, dass die Verurteilung bereits über acht Jahre zurückliege und die Strafe mittlerweile verbüsst worden sei. Das SEM habe es nicht als erforderlich erachtet, das Einreiseverbot zu verlängern. Das öffentliche Interesse an der Gefahrenabwehr verliere an Gewicht, je länger die Straftaten zurückliegen. Der Beschwerdeführer habe sich während der Haftdauer sowie nach der Entlassung – mit geringfügigen Ausnahmen – korrekt verhalten und sei deshalb nach Verbüssung von zwei Dritteln der Strafe vorzeitig entlassen worden. Diese positive Entwicklung werde auch durch das psychiatrische Gutachten vom 10. Juli 2024 bestätigt. Dieses halte fest, dass von ihm keine Gefahr für die öffentliche Sicherheit und Ordnung mehr ausgehe. Der Verstoss gegen das Einreiseverbot im Jahr 2021 sei aus migrationsrechtlicher Sicht entschuldbar, da der Beschwerdeführer diesen lediglich aus romantischen Gründen begangen habe, um seine Ehefrau wiederzusehen, welche er seit langer Zeit nicht mehr gesehen habe. Er stelle für seine Ehefrau, welche als Schweizer Staatsangehörige vollständig integriert sei und einer Erwerbstätigkeit nachgehe, eine wichtige emotionale und soziale Stütze dar. Insgesamt überwiege das private Interesse an einem gemeinsamen Familienleben das öffentliche Interesse an seiner Fernhaltung.</w:t>
      </w:r>
    </w:p>
    <w:p>
      <w:r>
        <w:rPr>
          <w:b/>
        </w:rPr>
        <w:t>E. 5</w:t>
      </w:r>
    </w:p>
    <w:p>
      <w:r>
        <w:t>In materieller Hinsicht ist zu prüfen, ob die Vorinstanz das Gesuch um Erteilung einer Aufenthaltsbewilligung an den Beschwerdeführer zu Recht abgewiesen hat.</w:t>
      </w:r>
    </w:p>
    <w:p>
      <w:r>
        <w:rPr>
          <w:b/>
        </w:rPr>
        <w:t>E. 5.1</w:t>
      </w:r>
    </w:p>
    <w:p>
      <w:r>
        <w:t>Nach Art. 42 Abs. 1 AIG haben ausländische Ehegatten und ledige Kinder von Schweizerinnen und Schweizern Anspruch auf Erteilung und Verlängerung der Aufenthaltsbewilligung, wenn sie mit diesen zusammenwohnen. Die Gewährung einer entsprechenden Aufenthaltsbewilligung nach Art. 42 AIG steht jedoch unter dem Vorbehalt des Rechtsmissbrauchs: So erlöschen nämlich laut Art. 51 Abs. 1 AIG die Ansprüche nach Art. 42 AIG, wenn sie rechtsmissbräuchlich geltend gemacht werden, namentlich um Vorschriften dieses Gesetzes und seiner Ausführungsbestimmungen über die Zulassung zu umgehen (Bst. a), oder wenn Widerrufsgründe nach Art. 63 AIG vorliegen (Bst. b). Ein Widerrufsgrund liegt nach Art. 63 Abs. 1 Bst. a AIG insbesondere vor, wenn die Voraussetzungen nach Art. 62 Abs. 1 Bst. a oder b AIG erfüllt sind, d.h. wenn der Ausländer oder sein Vertreter im Bewilligungsverfahren falsche Angaben macht oder wesentliche Tatsachen verschwiegen hat (Bst. a); wenn der Ausländer zu einer längerfristigen Freiheitsstrafe verurteilt wurde oder gegen ihn eine strafrechtliche Massnahme im Sinne der Art. 59-61 oder 64 StGB angeordnet wurde (Bst. b). Eine Freiheitsstrafe gilt als längerfristig im Sinne von Art. 63 Abs. 1 Bst. a AIG in Verbindung mit Art. 62 Abs. 1 Bst. b AIG, wenn die Dauer der auszusprechenden Strafe ein Jahr bzw. 360 Tage überschreitet, unabhängig davon, ob sie teil- oder vollbedingt bzw. ohne Bewährung ausgesprochen wurde. Der Widerrufsgrund der "längerfristigen Freiheitsstrafe" ist überdies nur erfüllt, wenn eine Strafe für sich allein das Kriterium der Längerfristigkeit erfüllt, d.h. die Dauer von einem Jahr überschreitet. Eine Kumulierung von mehreren kürzeren Strafen, die in ihrer Gesamtheit mehr als ein Jahr ausmachen, ist nicht zulässig (vgl. BGE 135 II 377 E. 4.2; 139 I 145 E. 2.1).</w:t>
      </w:r>
    </w:p>
    <w:p>
      <w:r>
        <w:rPr>
          <w:b/>
        </w:rPr>
        <w:t>E. 5.2</w:t>
      </w:r>
    </w:p>
    <w:p>
      <w:r>
        <w:t>Vorliegend wurde der Beschwerdeführer mit dem Urteil des Gerichts des Greyerzbezirks vom</w:t>
      </w:r>
    </w:p>
    <w:p>
      <w:r>
        <w:rPr>
          <w:b/>
        </w:rPr>
        <w:t>E. 7</w:t>
      </w:r>
    </w:p>
    <w:p>
      <w:r>
        <w:t>Im Ergebnis hat damit die Vorinstanz mit dem angefochtenen Entscheid, mit dem sie die Gewährung einer Aufenthaltsbewilligung an den Beschwerdeführer verweigerte, ihr Ermessen weder überschritten noch missbraucht und auch kein Recht verletzt. Die Beschwerde ist folglich abzuweisen und der Entscheid der Vorinstanz zu bestätigen.</w:t>
      </w:r>
    </w:p>
    <w:p>
      <w:r>
        <w:rPr>
          <w:b/>
        </w:rPr>
        <w:t>E. 8</w:t>
      </w:r>
    </w:p>
    <w:p>
      <w:r>
        <w:t>Die Gerichtskosten sind auf CHF 1'000.- festzusetzen und dem Verfahrensausgang entsprechend den Beschwerdeführern solidarisch aufzuerlegen (Art. 131 Abs. 1 VRG; Art. 1 und 2 des kantonalen Tarifs vom 17. Dezember 1991 der Verfahrenskosten und Entschädigungen in der Verwaltungsjustiz [TarifVJ; SGF 150.12]). Sie werden mit dem geleisteten Kostenvorschuss verrechnet. Es ist keine Parteientschädigung geschuldet (Art. 137 Abs. 1 VRG). Der Hof erkennt: I. Die Beschwerde wird abgewiesen. II. Die Gerichtskosten von CHF 1'000.- werden den Beschwerdeführern solidarisch auferlegt und mit dem geleisteten Kostenvorschuss verrechnet. III. Es wird keine Parteientschädigung zugesprochen. IV. Zustellung. Gegen diesen Entscheid kann innert 30 Tagen ab Zustellung Beschwerde beim Bundesgericht eingereicht werden. Gegen die Festsetzung der Höhe der Verfahrenskosten ist innert 30 Tagen die Einsprache an die Behörde, die entschieden hat, zulässig, sofern nur dieser Teil des Entscheides angefochten wird (Art. 148 VRG). Freiburg, 25. September 2025/dgr/gch Die Präsidentin Der Gerichtsschreiber-Praktikant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