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29 vom 27. Juni 2024</w:t>
      </w:r>
    </w:p>
    <w:p>
      <w:r>
        <w:t>FR Kantonsgericht, 2024-06-27, FR</w:t>
      </w:r>
    </w:p>
    <w:p>
      <w:r>
        <w:rPr>
          <w:b/>
        </w:rPr>
        <w:t xml:space="preserve">Quelle: </w:t>
      </w:r>
      <w:r>
        <w:t>https://mcp.opencaselaw.ch/entscheid/fr_gerichte_601_2024_29</w:t>
      </w:r>
    </w:p>
    <w:p>
      <w:r>
        <w:t>FR: FR_GERICHTE 601 2024 29 du 27 juin 2024</w:t>
      </w:r>
    </w:p>
    <w:p>
      <w:r>
        <w:t>IT: FR_GERICHTE 601 2024 29 del 27 giugno 2024</w:t>
      </w:r>
    </w:p>
    <w:p>
      <w:pPr>
        <w:pStyle w:val="Heading2"/>
      </w:pPr>
      <w:r>
        <w:t>Regeste</w:t>
      </w:r>
    </w:p>
    <w:p>
      <w:r>
        <w:t>Arrêt de la Ie Cour administrative du Tribunal cantonal | Schule und Bildung</w:t>
      </w:r>
    </w:p>
    <w:p>
      <w:pPr>
        <w:pStyle w:val="Heading2"/>
      </w:pPr>
      <w:r>
        <w:t>Erwägungen</w:t>
      </w:r>
    </w:p>
    <w:p>
      <w:r>
        <w:rPr>
          <w:b/>
        </w:rPr>
        <w:t>E. 5</w:t>
      </w:r>
    </w:p>
    <w:p>
      <w:r>
        <w:t>Partant, le recours doit être rejeté, dans la mesure de sa recevabilité, et la décision de la DFAC du 31 janvier 2024, confirmée.</w:t>
      </w:r>
    </w:p>
    <w:p>
      <w:r>
        <w:t>Tribunal cantonal TC Page 11 de 11 Les frais de procédure, fixés à CHF 1’000.-, sont mis à la charge du recourant, qui succombe (art. 131 CPJA), et compensés par l’avance de frais. Pour ce motif également, il n’a pas droit à des dépens (art. 137 CPJA). la Cour arrête : I. Le recours est rejeté, dans la mesure de sa recevabilité. Partant, la décision du 31 janvier 2024 est confirmée. II. Les frais de procédure sont fixés à CHF 1'000.- et mis à la charge du recourant. Ils sont compensés par l'avance de frais.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juin 2024/cos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