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2024 144 vom 24. April 2025</w:t>
      </w:r>
    </w:p>
    <w:p>
      <w:r>
        <w:t>FR Kantonsgericht, 2025-04-24, FR</w:t>
      </w:r>
    </w:p>
    <w:p>
      <w:r>
        <w:rPr>
          <w:b/>
        </w:rPr>
        <w:t xml:space="preserve">Quelle: </w:t>
      </w:r>
      <w:r>
        <w:t>https://mcp.opencaselaw.ch/entscheid/fr_gerichte_601_2024_144</w:t>
      </w:r>
    </w:p>
    <w:p>
      <w:r>
        <w:t>FR: FR_GERICHTE 601 2024 144 du 24 avril 2025</w:t>
      </w:r>
    </w:p>
    <w:p>
      <w:r>
        <w:t>IT: FR_GERICHTE 601 2024 144 del 24 aprile 2025</w:t>
      </w:r>
    </w:p>
    <w:p>
      <w:pPr>
        <w:pStyle w:val="Heading2"/>
      </w:pPr>
      <w:r>
        <w:t>Regeste</w:t>
      </w:r>
    </w:p>
    <w:p>
      <w:r>
        <w:t>Arrêt de la Ie Cour administrative du Tribunal cantonal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juillet 2024 étant dès lors réformée afin qu'il soit immédiatement placé dans un établissement</w:t>
      </w:r>
    </w:p>
    <w:p>
      <w:r>
        <w:t>Tribunal cantonal TC Page 3 de 7 approprié, au sens de l'art. 59 al. 2 CP, pour l'exécution de la mesure thérapeutique institutionnelle, et que sa requête d'assistance juridique soit admise pour la procédure devant la DSJS. Il a également demandé le bénéfice de l'assistance judiciaire gratuite totale pour la présente procédure de recours (601 2024 145). Dans ses déterminations circonstanciées du 6 janvier 2025, la DSJS conclut au rejet du recours et renonce à se prononcer sur la requête d'assistance judiciaire gratuite totale. Le 10 janvier 2025, le SESPP a fait parvenir à la Cour un exemplaire de sa décision du même jour, par laquelle il a refusé à A.________ aussi bien la libération conditionnelle que la levée de la mesure thérapeutique institutionnelle. Le 24 janvier 2025, sur invitation de la Juge déléguée de la Cour, le SESPP a produit la suite du dossier concernant A.________, constitué après sa décision du 26 juillet 2024. Le</w:t>
      </w:r>
    </w:p>
    <w:p>
      <w:r>
        <w:rPr>
          <w:b/>
        </w:rPr>
        <w:t>E. 30</w:t>
      </w:r>
    </w:p>
    <w:p>
      <w:r>
        <w:t>jours dès sa notification. Fribourg, le 24 avril 2025/lfa La Présidente Le Greffier-rapporteur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