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5 vom 12. Juli 2023</w:t>
      </w:r>
    </w:p>
    <w:p>
      <w:r>
        <w:t>FR Kantonsgericht, 2023-07-12, FR</w:t>
      </w:r>
    </w:p>
    <w:p>
      <w:r>
        <w:rPr>
          <w:b/>
        </w:rPr>
        <w:t xml:space="preserve">Quelle: </w:t>
      </w:r>
      <w:r>
        <w:t>https://mcp.opencaselaw.ch/entscheid/fr_gerichte_601_2023_5</w:t>
      </w:r>
    </w:p>
    <w:p>
      <w:r>
        <w:t>FR: FR_GERICHTE 601 2023 5 du 12 juillet 2023</w:t>
      </w:r>
    </w:p>
    <w:p>
      <w:r>
        <w:t>IT: FR_GERICHTE 601 2023 5 del 12 luglio 2023</w:t>
      </w:r>
    </w:p>
    <w:p>
      <w:pPr>
        <w:pStyle w:val="Heading2"/>
      </w:pPr>
      <w:r>
        <w:t>Regeste</w:t>
      </w:r>
    </w:p>
    <w:p>
      <w:r>
        <w:t>Arrêt de la Ie Cour administrative du Tribunal cantonal | Bürgerrecht, Niederlassung, Aufenthalt</w:t>
      </w:r>
    </w:p>
    <w:p>
      <w:pPr>
        <w:pStyle w:val="Heading2"/>
      </w:pPr>
      <w:r>
        <w:t>Erwägungen</w:t>
      </w:r>
    </w:p>
    <w:p>
      <w:r>
        <w:rPr>
          <w:b/>
        </w:rPr>
        <w:t>E. 15</w:t>
      </w:r>
    </w:p>
    <w:p>
      <w:r>
        <w:t>août 2013 consid. 3.1; 2C_67212012 du 26 février 2013 consid. 2.2) et le recourant n'apporte aucun élément tangible permettant de retenir le contraire. En définitive, dès lors que la durée du concubinage précédant le mariage n'est pas prise en compte, il convient de constater que la durée de vie commune, du 5 mars 2020 au 1er décembre 2021 au plus tard, n'atteint pas la limite des trois ans. 2.3. Selon la jurisprudence, à partir du moment où la première condition de l'art. 50 al. 1 let. a LEI – l'existence d'une véritable union conjugale pendant au moins trois ans – n'est pas réalisée, il devient inutile de réunir en outre tous les éléments nécessaires pour examiner si la seconde condition – une intégration réussie – est remplie (arrêt TC 2C_92/2023 du 5 mai 2023 consid. 6.2; ATF 136 II 113 consid. 3.4). 3. 3.1. Il convient toutefois encore d'examiner si le recourant peut invoquer des raisons personnelles majeures, telles qu'énoncées par l’art. 50 al. 1 let. b LEI et l'art. 77 al. 1 de l'ordonnance du 24 octobre 2007 relative à l'admission, au séjour et à l'exercice d'une activité lucrative (OASA; RS 142.201).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et 77 al. 2 OASA). En l'espèce, les deux premiers motifs n'entrent d'emblée pas en cause. En ce qui concerne le motif de la réintégration fortement compromise dans le pays d'origine,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139 II 393 consid. 6; arrêt TF 2C_731/2022 du 1er novembre 2022 consid. 5.4).</w:t>
      </w:r>
    </w:p>
    <w:p>
      <w:r>
        <w:t>Tribunal cantonal TC Page 5 de 6 Selon la jurisprudence, il incombe à celui qui sollicite une autorisation de séjour d'établir les faits pertinents aptes à permettre l’examen approfondi des conditions légales fixées. Le Tribunal fédéral a précisé que la maxime d’office, qui prévaut dans la procédure administrative, doit être relativisée par le devoir de collaboration de la partie en droit des étrangers. Ce devoir est d’autant plus étendu que la partie a elle-même initié la procédure ou qu’elle fait valoir des droits. Cette exigence se justifie particulièrement lorsque la partie connaît mieux l’état de fait que l’autorité et que, sans sa collaboration, les faits ne pourraient pas du tout être établis ou ne pourraient pas l’être au moyen d’investigations raisonnables. Dans les cas relevant du droit des étrangers, il appartient à l’évidence au requérant d’établir lui-même les circonstances personnelles à prendre en compte dans son pays d’origine qu'il allègue, vu la difficulté pour l’autorité administrative de procéder à des investigations. Des exigences élevées peuvent donc être posées en matière de collaboration à l’établissement des preuves dans ce cas (ATF 138 II 229 cconsid. 3.2.3; arrêt TF 2_732/2021 du 24 février 2022 consid. 3.2). 3.2. En l'occurrence, le recourant n'a pas allégué que sa réintégration sociale dans son pays d'origine, le Sénégal, serait fortement comprise. Il s'est en effet limité à décrire son intégration sociale en Suisse, qu'il qualifie de largement réussie. Or, comme souligné ci-dessus, une intégration réussie dans le pays n'est pas déterminante dès lors que l'existence d'une véritable union conjugale pendant au moins trois ans fait défaut. Ce faisant, son argumentation n'est pas pertinente. De plus, rien dans le dossier ne permet de penser qu'il ne retrouvera pas d'emploi en cas de retour au Sénégal. L'intéressé, qui est jeune et en bonne santé, sera ainsi en mesure de se réintégrer dans son pays d'origine sans rencontrer de difficultés insurmontables, pays dans lequel il a par ailleurs passé l'essentiel de sa vie. La situation sociale et économique générale du Sénégal ne justifie en outre pas la poursuite du séjour en Suisse en vertu de l'art. 50 al. 1 let. b LEI, même si les conditions de vie sont moins favorables dans son pays d'origine que celles dont le précité bénéfice ici. Il apparaît ainsi que les conditions de l'art. 50 al. 1 let. b LEI et de l'art. 77 OASA ne sont pas réunies en l'espèce. 4. Pour le reste, aucun autre motif spécial ne justifie d’accorder au recourant une autorisation de séjour nouvelle et indépendante du regroupement familial et de ses suites. En particulier, les conditions de l’art. 30 al. 1 let. b LEI – qui permet de tenir compte des cas individuels d’une extrême gravité ou d’intérêts publics majeurs – ne sont manifestement pas réalisées non plus, ce qui est généralement le cas lorsqu'aucune raison personnelle majeure au sens de l’art. 50 al. 1 let. b LEI ne peut être retenue (cf. arrêts TC FR 601 2020 198 du 31 mars 2021; TAF C-6133/2008 du 15 juillet 2011 consid. 8.3; Directives LEI ch. 6.15.3). 5. En exerçant leur pouvoir d'appréciation, les autorités compétentes doivent tenir compte de l'intérêt public, de la situation personnelle de l'étranger, ainsi que de son degré d'intégration (art. 96 al. 1 LEI). Cette disposition traduit, parmi d’autres, l’obligation des autorités de respecter le principe de la proportionnalité. A cet effet, il convient de prendre en considération tous les éléments du cas d'espèce, notamment la durée du séjour en Suisse, les relations sociales, familiales et professionnelles, ainsi que les conséquences d’un éventuel renvoi (arrêt TF 2C_456/2012 du 1er octobre 2012 consid. 3.4 et les références citées);</w:t>
      </w:r>
    </w:p>
    <w:p>
      <w:r>
        <w:t>Tribunal cantonal TC Page 6 de 6 En l'espèce, rien ne s'oppose au renvoi du recourant au Sénégal, alors qu'il y a passé la plus grande partie de sa vie, qu'il est en Suisse depuis six ans, désormais séparé et sans enfant. Il y a dès lors lieu de replacer le précité dans la situation applicable aux ressortissants de son pays qui n’obtiennent normalement pas, sans droit spécifique, une autorisation de résider en Suisse. Au regard des dispositions précitées, mais également sous l'angle de l'art. 96 al. 1 LEI, on doit ainsi constater que l'autorité intimée n'a commis aucun abus ou excès de son pouvoir d'appréciation, ni violé la loi en refusant le renouvellement de l'autorisation de séjour au recourant et en ordonnant son renvoi de Suisse. 6. Le recours, mal fondé, sera par conséquent rejeté et la décision de l'autorité intimée confirmée. Il appartient au recourant qui succombe de supporter les frais de procédure, en application de l'art. 131 CPJA. Pour la même raison, il ne lui est pas octroyé d'indemnité de partie (art. 137 CPJA). la Cour arrête : I. Le recours est rejeté. II. Les frais de procédure, par CHF 1000.-, sont mis à la charge de A.________. Ils sont compensés par l'avance de frais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juillet 2023/ape/vbe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